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011763" w14:textId="327EC7F4" w:rsidR="00B01BCE" w:rsidRPr="00311D7A" w:rsidRDefault="00B01BCE">
      <w:pPr>
        <w:rPr>
          <w:b/>
        </w:rPr>
      </w:pPr>
      <w:r w:rsidRPr="00311D7A">
        <w:rPr>
          <w:b/>
        </w:rPr>
        <w:t>Herbicide Labels:</w:t>
      </w:r>
    </w:p>
    <w:p w14:paraId="465A1426" w14:textId="53E6AB29" w:rsidR="00B01BCE" w:rsidRDefault="00B01BCE" w:rsidP="00B01BCE">
      <w:pPr>
        <w:jc w:val="both"/>
        <w:rPr>
          <w:rFonts w:asciiTheme="minorHAnsi" w:hAnsiTheme="minorHAnsi" w:cs="Arial"/>
          <w:sz w:val="18"/>
          <w:shd w:val="clear" w:color="auto" w:fill="FFFFFF"/>
        </w:rPr>
      </w:pPr>
      <w:r w:rsidRPr="00311D7A">
        <w:rPr>
          <w:rFonts w:asciiTheme="minorHAnsi" w:hAnsiTheme="minorHAnsi" w:cs="Arial"/>
          <w:shd w:val="clear" w:color="auto" w:fill="FFFFFF"/>
        </w:rPr>
        <w:t xml:space="preserve">Milestone® Specialty Herbicide, EPA </w:t>
      </w:r>
      <w:proofErr w:type="spellStart"/>
      <w:r w:rsidRPr="00311D7A">
        <w:rPr>
          <w:rFonts w:asciiTheme="minorHAnsi" w:hAnsiTheme="minorHAnsi" w:cs="Arial"/>
          <w:shd w:val="clear" w:color="auto" w:fill="FFFFFF"/>
        </w:rPr>
        <w:t>Reg</w:t>
      </w:r>
      <w:proofErr w:type="spellEnd"/>
      <w:r w:rsidRPr="00311D7A">
        <w:rPr>
          <w:rFonts w:asciiTheme="minorHAnsi" w:hAnsiTheme="minorHAnsi" w:cs="Arial"/>
          <w:shd w:val="clear" w:color="auto" w:fill="FFFFFF"/>
        </w:rPr>
        <w:t xml:space="preserve"> No. 62719-519 (Dow </w:t>
      </w:r>
      <w:proofErr w:type="spellStart"/>
      <w:r w:rsidRPr="00311D7A">
        <w:rPr>
          <w:rFonts w:asciiTheme="minorHAnsi" w:hAnsiTheme="minorHAnsi" w:cs="Arial"/>
          <w:shd w:val="clear" w:color="auto" w:fill="FFFFFF"/>
        </w:rPr>
        <w:t>AgroSciences</w:t>
      </w:r>
      <w:proofErr w:type="spellEnd"/>
      <w:r w:rsidRPr="00311D7A">
        <w:rPr>
          <w:rFonts w:asciiTheme="minorHAnsi" w:hAnsiTheme="minorHAnsi" w:cs="Arial"/>
          <w:shd w:val="clear" w:color="auto" w:fill="FFFFFF"/>
        </w:rPr>
        <w:t xml:space="preserve"> LLC, Indianapolis, IN). </w:t>
      </w:r>
      <w:hyperlink r:id="rId5" w:history="1">
        <w:r w:rsidR="0061047A" w:rsidRPr="008B793E">
          <w:rPr>
            <w:rStyle w:val="Hyperlink"/>
            <w:rFonts w:asciiTheme="minorHAnsi" w:hAnsiTheme="minorHAnsi" w:cs="Arial"/>
            <w:sz w:val="18"/>
            <w:shd w:val="clear" w:color="auto" w:fill="FFFFFF"/>
          </w:rPr>
          <w:t>http://www.cdms.net/LDat/ld77N015.pdf</w:t>
        </w:r>
      </w:hyperlink>
    </w:p>
    <w:p w14:paraId="0481731D" w14:textId="1FC8546D" w:rsidR="00B01BCE" w:rsidRPr="00311D7A" w:rsidRDefault="00B01BCE" w:rsidP="00E72970">
      <w:pPr>
        <w:jc w:val="both"/>
        <w:rPr>
          <w:rFonts w:asciiTheme="minorHAnsi" w:hAnsiTheme="minorHAnsi"/>
        </w:rPr>
      </w:pPr>
    </w:p>
    <w:p w14:paraId="198BA6D9" w14:textId="4BE3D787" w:rsidR="00B01BCE" w:rsidRPr="00311D7A" w:rsidRDefault="00B01BCE">
      <w:pPr>
        <w:rPr>
          <w:b/>
        </w:rPr>
      </w:pPr>
      <w:r w:rsidRPr="00311D7A">
        <w:rPr>
          <w:b/>
        </w:rPr>
        <w:t>Guides</w:t>
      </w:r>
      <w:r w:rsidR="00D01C6E">
        <w:rPr>
          <w:b/>
        </w:rPr>
        <w:t xml:space="preserve"> for Herbicide Injection</w:t>
      </w:r>
      <w:r w:rsidRPr="00311D7A">
        <w:rPr>
          <w:b/>
        </w:rPr>
        <w:t>:</w:t>
      </w:r>
    </w:p>
    <w:p w14:paraId="1583F485" w14:textId="337000EC" w:rsidR="00E72970" w:rsidRPr="00D01C6E" w:rsidRDefault="00E72970" w:rsidP="00B01BCE">
      <w:pPr>
        <w:tabs>
          <w:tab w:val="left" w:pos="720"/>
        </w:tabs>
        <w:jc w:val="both"/>
        <w:rPr>
          <w:rFonts w:eastAsia="Times New Roman" w:cstheme="minorHAnsi"/>
          <w:sz w:val="18"/>
        </w:rPr>
      </w:pPr>
      <w:r w:rsidRPr="00311D7A">
        <w:rPr>
          <w:rFonts w:eastAsia="Times New Roman" w:cstheme="minorHAnsi"/>
        </w:rPr>
        <w:t>Practitioner’s Guide for Testing Herbicide Efficacy with the Incision Point Application (IPA) Technique o</w:t>
      </w:r>
      <w:r w:rsidR="00B01BCE" w:rsidRPr="00311D7A">
        <w:rPr>
          <w:rFonts w:eastAsia="Times New Roman" w:cstheme="minorHAnsi"/>
        </w:rPr>
        <w:t xml:space="preserve">n Invasive Woody Plant Species. </w:t>
      </w:r>
      <w:r w:rsidRPr="00D01C6E">
        <w:rPr>
          <w:rFonts w:eastAsia="Times New Roman" w:cstheme="minorHAnsi"/>
          <w:sz w:val="18"/>
        </w:rPr>
        <w:t>http://www.ctahr.hawaii.edu/oc/freepubs/pdf/WC-11.pdf</w:t>
      </w:r>
    </w:p>
    <w:p w14:paraId="0F039603" w14:textId="77777777" w:rsidR="003B0581" w:rsidRDefault="003B0581" w:rsidP="001E62E9">
      <w:pPr>
        <w:jc w:val="both"/>
        <w:rPr>
          <w:rFonts w:eastAsia="Times New Roman" w:cstheme="minorHAnsi"/>
        </w:rPr>
      </w:pPr>
    </w:p>
    <w:p w14:paraId="02486172" w14:textId="2FF3B4E8" w:rsidR="00FF4533" w:rsidRPr="00D01C6E" w:rsidRDefault="00E72970" w:rsidP="001E62E9">
      <w:pPr>
        <w:jc w:val="both"/>
        <w:rPr>
          <w:rFonts w:eastAsia="Times New Roman" w:cstheme="minorHAnsi"/>
          <w:sz w:val="18"/>
        </w:rPr>
      </w:pPr>
      <w:r w:rsidRPr="00311D7A">
        <w:rPr>
          <w:rFonts w:eastAsia="Times New Roman" w:cstheme="minorHAnsi"/>
        </w:rPr>
        <w:t xml:space="preserve">Practitioner’s Guide for Effective Non-Restricted Herbicide Techniques to Control and Suppress Invasive Woody Species in Hawaii.  </w:t>
      </w:r>
      <w:r w:rsidR="009F0D8B">
        <w:rPr>
          <w:rFonts w:eastAsia="Times New Roman" w:cstheme="minorHAnsi"/>
          <w:sz w:val="18"/>
        </w:rPr>
        <w:t>http://www.ctahr.hawaii.edu/</w:t>
      </w:r>
      <w:r w:rsidRPr="00D01C6E">
        <w:rPr>
          <w:rFonts w:eastAsia="Times New Roman" w:cstheme="minorHAnsi"/>
          <w:sz w:val="18"/>
        </w:rPr>
        <w:t>oc/freepubs/pdf/WC-10.pdf</w:t>
      </w:r>
    </w:p>
    <w:p w14:paraId="2930F8F2" w14:textId="77777777" w:rsidR="00D01C6E" w:rsidRDefault="00D01C6E" w:rsidP="00E72970">
      <w:pPr>
        <w:jc w:val="both"/>
        <w:rPr>
          <w:rFonts w:eastAsia="Times New Roman" w:cstheme="minorHAnsi"/>
        </w:rPr>
      </w:pPr>
    </w:p>
    <w:p w14:paraId="0EBEA265" w14:textId="4A76D55B" w:rsidR="00D01C6E" w:rsidRDefault="00121EC6" w:rsidP="00D01C6E">
      <w:pPr>
        <w:rPr>
          <w:b/>
        </w:rPr>
      </w:pPr>
      <w:r>
        <w:rPr>
          <w:b/>
        </w:rPr>
        <w:t xml:space="preserve">Guides </w:t>
      </w:r>
      <w:r w:rsidR="00D01C6E">
        <w:rPr>
          <w:b/>
        </w:rPr>
        <w:t>for Measuring Tree Height</w:t>
      </w:r>
      <w:r w:rsidR="00D01C6E" w:rsidRPr="00311D7A">
        <w:rPr>
          <w:b/>
        </w:rPr>
        <w:t>:</w:t>
      </w:r>
    </w:p>
    <w:p w14:paraId="7ED03D37" w14:textId="2865F69A" w:rsidR="003B0581" w:rsidRDefault="003B0581" w:rsidP="00D01C6E">
      <w:pPr>
        <w:rPr>
          <w:sz w:val="18"/>
        </w:rPr>
      </w:pPr>
      <w:r w:rsidRPr="003B0581">
        <w:rPr>
          <w:sz w:val="18"/>
        </w:rPr>
        <w:t>http://www.ctahr.hawaii.edu/forestry/links.html</w:t>
      </w:r>
    </w:p>
    <w:p w14:paraId="3082D21C" w14:textId="7D4D11F6" w:rsidR="00D01C6E" w:rsidRDefault="00D01C6E" w:rsidP="00E72970">
      <w:pPr>
        <w:jc w:val="both"/>
        <w:rPr>
          <w:rFonts w:eastAsia="Times New Roman" w:cstheme="minorHAnsi"/>
          <w:sz w:val="18"/>
        </w:rPr>
      </w:pPr>
      <w:r w:rsidRPr="00D01C6E">
        <w:rPr>
          <w:rFonts w:eastAsia="Times New Roman" w:cstheme="minorHAnsi"/>
          <w:sz w:val="18"/>
        </w:rPr>
        <w:t xml:space="preserve">http://www.wikihow.com/Measure-the-Height-of-a-Tree </w:t>
      </w:r>
    </w:p>
    <w:p w14:paraId="7EACA3BD" w14:textId="25C349B9" w:rsidR="00D01C6E" w:rsidRPr="00D01C6E" w:rsidRDefault="00D01C6E" w:rsidP="00E72970">
      <w:pPr>
        <w:jc w:val="both"/>
        <w:rPr>
          <w:rFonts w:eastAsia="Times New Roman" w:cstheme="minorHAnsi"/>
          <w:sz w:val="18"/>
        </w:rPr>
      </w:pPr>
      <w:r w:rsidRPr="00D01C6E">
        <w:rPr>
          <w:rFonts w:eastAsia="Times New Roman" w:cstheme="minorHAnsi"/>
          <w:sz w:val="18"/>
        </w:rPr>
        <w:t>https://play.google.com/store/apps/details?id=com.taakkumn.iHypsometerLite&amp;hl=en</w:t>
      </w:r>
    </w:p>
    <w:p w14:paraId="4F43FF79" w14:textId="77777777" w:rsidR="00D01C6E" w:rsidRPr="00311D7A" w:rsidRDefault="00D01C6E" w:rsidP="00E72970">
      <w:pPr>
        <w:jc w:val="both"/>
        <w:rPr>
          <w:rFonts w:eastAsia="Times New Roman" w:cstheme="minorHAnsi"/>
        </w:rPr>
      </w:pPr>
    </w:p>
    <w:p w14:paraId="44EEFDAA" w14:textId="32207606" w:rsidR="00522017" w:rsidRPr="00311D7A" w:rsidRDefault="00522017" w:rsidP="00E72970">
      <w:pPr>
        <w:jc w:val="both"/>
        <w:rPr>
          <w:rFonts w:eastAsia="Times New Roman" w:cstheme="minorHAnsi"/>
          <w:b/>
        </w:rPr>
      </w:pPr>
      <w:r w:rsidRPr="00311D7A">
        <w:rPr>
          <w:rFonts w:eastAsia="Times New Roman" w:cstheme="minorHAnsi"/>
          <w:b/>
        </w:rPr>
        <w:t xml:space="preserve">Local </w:t>
      </w:r>
      <w:r w:rsidR="00B01BCE" w:rsidRPr="00311D7A">
        <w:rPr>
          <w:rFonts w:eastAsia="Times New Roman" w:cstheme="minorHAnsi"/>
          <w:b/>
        </w:rPr>
        <w:t xml:space="preserve">Sources for </w:t>
      </w:r>
      <w:r w:rsidRPr="00311D7A">
        <w:rPr>
          <w:rFonts w:eastAsia="Times New Roman" w:cstheme="minorHAnsi"/>
          <w:b/>
        </w:rPr>
        <w:t>Herbicide</w:t>
      </w:r>
      <w:r w:rsidR="0000109D" w:rsidRPr="00311D7A">
        <w:rPr>
          <w:rFonts w:eastAsia="Times New Roman" w:cstheme="minorHAnsi"/>
          <w:b/>
        </w:rPr>
        <w:t xml:space="preserve"> Purchasing</w:t>
      </w:r>
      <w:r w:rsidR="00B01BCE" w:rsidRPr="00311D7A">
        <w:rPr>
          <w:rFonts w:eastAsia="Times New Roman" w:cstheme="minorHAnsi"/>
          <w:b/>
        </w:rPr>
        <w:t>:</w:t>
      </w:r>
    </w:p>
    <w:p w14:paraId="334409C0" w14:textId="4F4C2882" w:rsidR="00C57D10" w:rsidRDefault="00611D55" w:rsidP="00E72970">
      <w:pPr>
        <w:jc w:val="both"/>
        <w:rPr>
          <w:rFonts w:eastAsia="Times New Roman" w:cstheme="minorHAnsi"/>
        </w:rPr>
      </w:pPr>
      <w:r>
        <w:rPr>
          <w:rFonts w:eastAsia="Times New Roman" w:cstheme="minorHAnsi"/>
        </w:rPr>
        <w:t>Garden Exchange</w:t>
      </w:r>
    </w:p>
    <w:p w14:paraId="47D19BA0" w14:textId="6C6C7CA7" w:rsidR="00611D55" w:rsidRPr="00D01C6E" w:rsidRDefault="00611D55" w:rsidP="00E72970">
      <w:pPr>
        <w:jc w:val="both"/>
        <w:rPr>
          <w:rFonts w:eastAsia="Times New Roman" w:cstheme="minorHAnsi"/>
          <w:sz w:val="18"/>
        </w:rPr>
      </w:pPr>
      <w:r w:rsidRPr="00611D55">
        <w:rPr>
          <w:rFonts w:eastAsia="Times New Roman" w:cstheme="minorHAnsi"/>
          <w:sz w:val="18"/>
        </w:rPr>
        <w:t>ht</w:t>
      </w:r>
      <w:r>
        <w:rPr>
          <w:rFonts w:eastAsia="Times New Roman" w:cstheme="minorHAnsi"/>
          <w:sz w:val="18"/>
        </w:rPr>
        <w:t>tp://www.gardenexchangehilo.com</w:t>
      </w:r>
    </w:p>
    <w:p w14:paraId="179EB74D" w14:textId="77777777" w:rsidR="003B0581" w:rsidRDefault="003B0581" w:rsidP="00E72970">
      <w:pPr>
        <w:jc w:val="both"/>
        <w:rPr>
          <w:rFonts w:eastAsia="Times New Roman" w:cstheme="minorHAnsi"/>
        </w:rPr>
      </w:pPr>
    </w:p>
    <w:p w14:paraId="198C7CA4" w14:textId="28C51A0F" w:rsidR="0094003D" w:rsidRPr="00311D7A" w:rsidRDefault="0094003D" w:rsidP="00E72970">
      <w:pPr>
        <w:jc w:val="both"/>
        <w:rPr>
          <w:rFonts w:eastAsia="Times New Roman" w:cstheme="minorHAnsi"/>
        </w:rPr>
      </w:pPr>
      <w:r w:rsidRPr="00311D7A">
        <w:rPr>
          <w:rFonts w:eastAsia="Times New Roman" w:cstheme="minorHAnsi"/>
        </w:rPr>
        <w:t xml:space="preserve">BEI </w:t>
      </w:r>
      <w:r w:rsidR="00C57D10" w:rsidRPr="00311D7A">
        <w:rPr>
          <w:rFonts w:eastAsia="Times New Roman" w:cstheme="minorHAnsi"/>
        </w:rPr>
        <w:t>Hawaii</w:t>
      </w:r>
    </w:p>
    <w:p w14:paraId="2C858944" w14:textId="7ACB3209" w:rsidR="00C57D10" w:rsidRPr="00D01C6E" w:rsidRDefault="00C57D10" w:rsidP="00E72970">
      <w:pPr>
        <w:jc w:val="both"/>
        <w:rPr>
          <w:rFonts w:eastAsia="Times New Roman" w:cstheme="minorHAnsi"/>
          <w:sz w:val="18"/>
        </w:rPr>
      </w:pPr>
      <w:r w:rsidRPr="00D01C6E">
        <w:rPr>
          <w:rFonts w:eastAsia="Times New Roman" w:cstheme="minorHAnsi"/>
          <w:sz w:val="18"/>
        </w:rPr>
        <w:t>http://www.beihawaii.com</w:t>
      </w:r>
    </w:p>
    <w:p w14:paraId="3EEAC004" w14:textId="77777777" w:rsidR="003B0581" w:rsidRDefault="003B0581" w:rsidP="00E72970">
      <w:pPr>
        <w:jc w:val="both"/>
        <w:rPr>
          <w:rFonts w:eastAsia="Times New Roman" w:cstheme="minorHAnsi"/>
        </w:rPr>
      </w:pPr>
    </w:p>
    <w:p w14:paraId="6B0A720B" w14:textId="52783A86" w:rsidR="0094003D" w:rsidRPr="00311D7A" w:rsidRDefault="0094003D" w:rsidP="00E72970">
      <w:pPr>
        <w:jc w:val="both"/>
        <w:rPr>
          <w:rFonts w:eastAsia="Times New Roman" w:cstheme="minorHAnsi"/>
        </w:rPr>
      </w:pPr>
      <w:r w:rsidRPr="00311D7A">
        <w:rPr>
          <w:rFonts w:eastAsia="Times New Roman" w:cstheme="minorHAnsi"/>
        </w:rPr>
        <w:t>Crop Production Serv</w:t>
      </w:r>
      <w:r w:rsidR="00C57D10" w:rsidRPr="00311D7A">
        <w:rPr>
          <w:rFonts w:eastAsia="Times New Roman" w:cstheme="minorHAnsi"/>
        </w:rPr>
        <w:t>ic</w:t>
      </w:r>
      <w:r w:rsidRPr="00311D7A">
        <w:rPr>
          <w:rFonts w:eastAsia="Times New Roman" w:cstheme="minorHAnsi"/>
        </w:rPr>
        <w:t>es</w:t>
      </w:r>
      <w:r w:rsidR="001E62E9" w:rsidRPr="00311D7A">
        <w:rPr>
          <w:rFonts w:eastAsia="Times New Roman" w:cstheme="minorHAnsi"/>
        </w:rPr>
        <w:t xml:space="preserve"> Inc.</w:t>
      </w:r>
    </w:p>
    <w:p w14:paraId="4CFAF43A" w14:textId="5A5B015C" w:rsidR="001E62E9" w:rsidRPr="00D01C6E" w:rsidRDefault="001E62E9" w:rsidP="00E72970">
      <w:pPr>
        <w:jc w:val="both"/>
        <w:rPr>
          <w:rFonts w:eastAsia="Times New Roman" w:cstheme="minorHAnsi"/>
          <w:sz w:val="18"/>
        </w:rPr>
      </w:pPr>
      <w:r w:rsidRPr="00D01C6E">
        <w:rPr>
          <w:rFonts w:eastAsia="Times New Roman" w:cstheme="minorHAnsi"/>
          <w:sz w:val="18"/>
        </w:rPr>
        <w:t>http://www.cpsagu.com/regions/Hawaii</w:t>
      </w:r>
    </w:p>
    <w:p w14:paraId="19FAD603" w14:textId="77777777" w:rsidR="0094003D" w:rsidRPr="00311D7A" w:rsidRDefault="0094003D" w:rsidP="00E72970">
      <w:pPr>
        <w:jc w:val="both"/>
        <w:rPr>
          <w:rFonts w:eastAsia="Times New Roman" w:cstheme="minorHAnsi"/>
        </w:rPr>
      </w:pPr>
    </w:p>
    <w:p w14:paraId="3FDF307B" w14:textId="648C8734" w:rsidR="00522017" w:rsidRPr="00311D7A" w:rsidRDefault="00522017" w:rsidP="00E72970">
      <w:pPr>
        <w:jc w:val="both"/>
        <w:rPr>
          <w:rFonts w:eastAsia="Times New Roman" w:cstheme="minorHAnsi"/>
          <w:b/>
        </w:rPr>
      </w:pPr>
      <w:r w:rsidRPr="00311D7A">
        <w:rPr>
          <w:rFonts w:eastAsia="Times New Roman" w:cstheme="minorHAnsi"/>
          <w:b/>
        </w:rPr>
        <w:t>Key search terms for online purchasing:</w:t>
      </w:r>
    </w:p>
    <w:p w14:paraId="63D1137C" w14:textId="77777777" w:rsidR="001E62E9" w:rsidRPr="00311D7A" w:rsidRDefault="00522017" w:rsidP="00E72970">
      <w:pPr>
        <w:jc w:val="both"/>
        <w:rPr>
          <w:rFonts w:eastAsia="Times New Roman" w:cstheme="minorHAnsi"/>
        </w:rPr>
      </w:pPr>
      <w:r w:rsidRPr="00311D7A">
        <w:rPr>
          <w:rFonts w:eastAsia="Times New Roman" w:cstheme="minorHAnsi"/>
        </w:rPr>
        <w:t>Drop Dispenser Bottle, Hatchet, Bush Pilot Hatchet, Survival Hatchet, Camping Hatchet</w:t>
      </w:r>
    </w:p>
    <w:p w14:paraId="742A7CDE" w14:textId="77777777" w:rsidR="00311D7A" w:rsidRDefault="00311D7A" w:rsidP="00C57D10">
      <w:pPr>
        <w:jc w:val="both"/>
        <w:rPr>
          <w:rFonts w:eastAsia="Times New Roman" w:cs="Calibri"/>
          <w:b/>
        </w:rPr>
      </w:pPr>
    </w:p>
    <w:p w14:paraId="166FA4B5" w14:textId="2B697C28" w:rsidR="00C57D10" w:rsidRPr="00D01C6E" w:rsidRDefault="002D002E" w:rsidP="00C57D10">
      <w:pPr>
        <w:jc w:val="both"/>
        <w:rPr>
          <w:rFonts w:eastAsia="Times New Roman" w:cs="Calibri"/>
          <w:b/>
        </w:rPr>
      </w:pPr>
      <w:r w:rsidRPr="00D01C6E">
        <w:rPr>
          <w:rFonts w:eastAsia="Times New Roman" w:cs="Calibri"/>
          <w:b/>
        </w:rPr>
        <w:t>Contributors</w:t>
      </w:r>
      <w:r w:rsidR="00C57D10" w:rsidRPr="00D01C6E">
        <w:rPr>
          <w:rFonts w:eastAsia="Times New Roman" w:cs="Calibri"/>
          <w:b/>
        </w:rPr>
        <w:t>:</w:t>
      </w:r>
    </w:p>
    <w:p w14:paraId="540E79F6" w14:textId="27D0D9F7" w:rsidR="00C57D10" w:rsidRPr="002D002E" w:rsidRDefault="00C57D10" w:rsidP="00C57D10">
      <w:pPr>
        <w:jc w:val="both"/>
        <w:rPr>
          <w:rFonts w:eastAsia="Times New Roman" w:cs="Calibri"/>
          <w:sz w:val="20"/>
          <w:vertAlign w:val="superscript"/>
        </w:rPr>
      </w:pPr>
      <w:r w:rsidRPr="002D002E">
        <w:rPr>
          <w:rFonts w:eastAsia="Times New Roman" w:cs="Calibri"/>
          <w:sz w:val="20"/>
        </w:rPr>
        <w:t>James Leary</w:t>
      </w:r>
      <w:r w:rsidRPr="002D002E">
        <w:rPr>
          <w:rFonts w:eastAsia="Times New Roman" w:cs="Calibri"/>
          <w:sz w:val="20"/>
          <w:vertAlign w:val="superscript"/>
        </w:rPr>
        <w:t>1</w:t>
      </w:r>
      <w:r w:rsidRPr="002D002E">
        <w:rPr>
          <w:rFonts w:eastAsia="Times New Roman" w:cs="Calibri"/>
          <w:sz w:val="20"/>
        </w:rPr>
        <w:t xml:space="preserve">, </w:t>
      </w:r>
      <w:r w:rsidR="002D002E" w:rsidRPr="002D002E">
        <w:rPr>
          <w:rFonts w:eastAsia="Times New Roman" w:cs="Calibri"/>
          <w:sz w:val="20"/>
        </w:rPr>
        <w:t>JB Friday</w:t>
      </w:r>
      <w:r w:rsidR="002D002E" w:rsidRPr="002D002E">
        <w:rPr>
          <w:rFonts w:eastAsia="Times New Roman" w:cs="Calibri"/>
          <w:sz w:val="20"/>
          <w:vertAlign w:val="superscript"/>
        </w:rPr>
        <w:t>1</w:t>
      </w:r>
      <w:r w:rsidR="002D002E" w:rsidRPr="002D002E">
        <w:rPr>
          <w:rFonts w:eastAsia="Times New Roman" w:cs="Calibri"/>
          <w:sz w:val="20"/>
        </w:rPr>
        <w:t xml:space="preserve">, </w:t>
      </w:r>
      <w:r w:rsidRPr="002D002E">
        <w:rPr>
          <w:rFonts w:eastAsia="Times New Roman" w:cs="Calibri"/>
          <w:sz w:val="20"/>
        </w:rPr>
        <w:t>Springer Kaye</w:t>
      </w:r>
      <w:r w:rsidRPr="002D002E">
        <w:rPr>
          <w:rFonts w:eastAsia="Times New Roman" w:cs="Calibri"/>
          <w:sz w:val="20"/>
          <w:vertAlign w:val="superscript"/>
        </w:rPr>
        <w:t>2</w:t>
      </w:r>
      <w:r w:rsidRPr="002D002E">
        <w:rPr>
          <w:rFonts w:eastAsia="Times New Roman" w:cs="Calibri"/>
          <w:sz w:val="20"/>
        </w:rPr>
        <w:t>, Flint Hughes</w:t>
      </w:r>
      <w:r w:rsidRPr="002D002E">
        <w:rPr>
          <w:rFonts w:eastAsia="Times New Roman" w:cs="Calibri"/>
          <w:sz w:val="20"/>
          <w:vertAlign w:val="superscript"/>
        </w:rPr>
        <w:t>3</w:t>
      </w:r>
    </w:p>
    <w:p w14:paraId="542291DD" w14:textId="232607C7" w:rsidR="00C57D10" w:rsidRPr="002D002E" w:rsidRDefault="00C57D10" w:rsidP="00C57D10">
      <w:pPr>
        <w:jc w:val="both"/>
        <w:rPr>
          <w:rFonts w:eastAsia="Times New Roman" w:cs="Calibri"/>
          <w:sz w:val="20"/>
        </w:rPr>
      </w:pPr>
      <w:r w:rsidRPr="002D002E">
        <w:rPr>
          <w:rFonts w:eastAsia="Times New Roman" w:cs="Calibri"/>
          <w:sz w:val="20"/>
          <w:vertAlign w:val="superscript"/>
        </w:rPr>
        <w:t>1</w:t>
      </w:r>
      <w:r w:rsidRPr="002D002E">
        <w:rPr>
          <w:rFonts w:eastAsia="Times New Roman" w:cs="Calibri"/>
          <w:sz w:val="20"/>
        </w:rPr>
        <w:t xml:space="preserve"> Department of Natural Resources and Environmental Management</w:t>
      </w:r>
      <w:r w:rsidR="00C85884" w:rsidRPr="002D002E">
        <w:rPr>
          <w:rFonts w:eastAsia="Times New Roman" w:cs="Calibri"/>
          <w:sz w:val="20"/>
        </w:rPr>
        <w:t xml:space="preserve"> (NREM)</w:t>
      </w:r>
      <w:r w:rsidRPr="002D002E">
        <w:rPr>
          <w:rFonts w:eastAsia="Times New Roman" w:cs="Calibri"/>
          <w:sz w:val="20"/>
        </w:rPr>
        <w:t>, College of Tropical Agriculture and Human Resources</w:t>
      </w:r>
      <w:r w:rsidR="00C85884" w:rsidRPr="002D002E">
        <w:rPr>
          <w:rFonts w:eastAsia="Times New Roman" w:cs="Calibri"/>
          <w:sz w:val="20"/>
        </w:rPr>
        <w:t xml:space="preserve"> (CTAHR)</w:t>
      </w:r>
      <w:r w:rsidRPr="002D002E">
        <w:rPr>
          <w:rFonts w:eastAsia="Times New Roman" w:cs="Calibri"/>
          <w:sz w:val="20"/>
        </w:rPr>
        <w:t>, University of Hawai‘i at Manoa</w:t>
      </w:r>
      <w:r w:rsidR="00C85884" w:rsidRPr="002D002E">
        <w:rPr>
          <w:rFonts w:eastAsia="Times New Roman" w:cs="Calibri"/>
          <w:sz w:val="20"/>
        </w:rPr>
        <w:t xml:space="preserve"> (UHM)</w:t>
      </w:r>
    </w:p>
    <w:p w14:paraId="4D42AA72" w14:textId="5270C40D" w:rsidR="00C57D10" w:rsidRPr="002D002E" w:rsidRDefault="00C57D10" w:rsidP="00C57D10">
      <w:pPr>
        <w:jc w:val="both"/>
        <w:rPr>
          <w:rFonts w:eastAsia="Times New Roman" w:cs="Calibri"/>
          <w:sz w:val="20"/>
        </w:rPr>
      </w:pPr>
      <w:r w:rsidRPr="002D002E">
        <w:rPr>
          <w:rFonts w:eastAsia="Times New Roman" w:cs="Calibri"/>
          <w:sz w:val="20"/>
          <w:vertAlign w:val="superscript"/>
        </w:rPr>
        <w:t xml:space="preserve">2 </w:t>
      </w:r>
      <w:r w:rsidRPr="002D002E">
        <w:rPr>
          <w:rFonts w:eastAsia="Times New Roman" w:cs="Calibri"/>
          <w:sz w:val="20"/>
        </w:rPr>
        <w:t>Big Island Invasive Species Committee</w:t>
      </w:r>
      <w:r w:rsidR="00C85884" w:rsidRPr="002D002E">
        <w:rPr>
          <w:rFonts w:eastAsia="Times New Roman" w:cs="Calibri"/>
          <w:sz w:val="20"/>
        </w:rPr>
        <w:t xml:space="preserve"> (BIISC)</w:t>
      </w:r>
      <w:r w:rsidRPr="002D002E">
        <w:rPr>
          <w:rFonts w:eastAsia="Times New Roman" w:cs="Calibri"/>
          <w:sz w:val="20"/>
        </w:rPr>
        <w:t>, Pacific Cooperative Studies Unit</w:t>
      </w:r>
      <w:r w:rsidR="00C85884" w:rsidRPr="002D002E">
        <w:rPr>
          <w:rFonts w:eastAsia="Times New Roman" w:cs="Calibri"/>
          <w:sz w:val="20"/>
        </w:rPr>
        <w:t xml:space="preserve"> (PCSU)</w:t>
      </w:r>
      <w:r w:rsidRPr="002D002E">
        <w:rPr>
          <w:rFonts w:eastAsia="Times New Roman" w:cs="Calibri"/>
          <w:sz w:val="20"/>
        </w:rPr>
        <w:t>, University of Hawai‘i at Manoa</w:t>
      </w:r>
    </w:p>
    <w:p w14:paraId="1191A51E" w14:textId="2CC14C45" w:rsidR="00C57D10" w:rsidRPr="002D002E" w:rsidRDefault="00C57D10" w:rsidP="00C57D10">
      <w:pPr>
        <w:jc w:val="both"/>
        <w:rPr>
          <w:rFonts w:eastAsia="Times New Roman" w:cs="Calibri"/>
          <w:sz w:val="20"/>
        </w:rPr>
      </w:pPr>
      <w:r w:rsidRPr="002D002E">
        <w:rPr>
          <w:rFonts w:eastAsia="Times New Roman" w:cs="Calibri"/>
          <w:sz w:val="20"/>
          <w:vertAlign w:val="superscript"/>
        </w:rPr>
        <w:t xml:space="preserve">3 </w:t>
      </w:r>
      <w:r w:rsidRPr="002D002E">
        <w:rPr>
          <w:rFonts w:eastAsia="Times New Roman" w:cs="Calibri"/>
          <w:sz w:val="20"/>
        </w:rPr>
        <w:t>Institute of Pacific Island Forestry</w:t>
      </w:r>
      <w:r w:rsidR="00C85884" w:rsidRPr="002D002E">
        <w:rPr>
          <w:rFonts w:eastAsia="Times New Roman" w:cs="Calibri"/>
          <w:sz w:val="20"/>
        </w:rPr>
        <w:t xml:space="preserve"> (IPIF)</w:t>
      </w:r>
      <w:r w:rsidRPr="002D002E">
        <w:rPr>
          <w:rFonts w:eastAsia="Times New Roman" w:cs="Calibri"/>
          <w:sz w:val="20"/>
        </w:rPr>
        <w:t>, USDA Forest Service</w:t>
      </w:r>
    </w:p>
    <w:p w14:paraId="6AB458AC" w14:textId="77777777" w:rsidR="0000109D" w:rsidRPr="002D002E" w:rsidRDefault="0000109D" w:rsidP="00C57D10">
      <w:pPr>
        <w:jc w:val="both"/>
        <w:rPr>
          <w:rFonts w:eastAsia="Times New Roman" w:cs="Calibri"/>
          <w:sz w:val="20"/>
        </w:rPr>
      </w:pPr>
    </w:p>
    <w:p w14:paraId="179DA019" w14:textId="29E943CD" w:rsidR="0000109D" w:rsidRPr="00D01C6E" w:rsidRDefault="0000109D" w:rsidP="0000109D">
      <w:pPr>
        <w:jc w:val="both"/>
        <w:rPr>
          <w:rFonts w:eastAsia="Times New Roman" w:cs="Calibri"/>
          <w:b/>
        </w:rPr>
      </w:pPr>
      <w:r w:rsidRPr="00D01C6E">
        <w:rPr>
          <w:rFonts w:eastAsia="Times New Roman" w:cs="Calibri"/>
          <w:b/>
        </w:rPr>
        <w:t>Acknowledgements:</w:t>
      </w:r>
    </w:p>
    <w:p w14:paraId="2E9EDEF2" w14:textId="1246A935" w:rsidR="0000109D" w:rsidRPr="002D002E" w:rsidRDefault="00C85884" w:rsidP="0000109D">
      <w:pPr>
        <w:jc w:val="both"/>
        <w:rPr>
          <w:rFonts w:eastAsia="Times New Roman" w:cs="Calibri"/>
          <w:sz w:val="20"/>
        </w:rPr>
      </w:pPr>
      <w:r w:rsidRPr="002D002E">
        <w:rPr>
          <w:rFonts w:eastAsia="Times New Roman" w:cs="Calibri"/>
          <w:sz w:val="20"/>
        </w:rPr>
        <w:t xml:space="preserve">Nick Dudley, Hawaii Agriculture Research Center (HARC), Linda Cox (NREM), </w:t>
      </w:r>
      <w:proofErr w:type="spellStart"/>
      <w:r w:rsidRPr="002D002E">
        <w:rPr>
          <w:rFonts w:eastAsia="Times New Roman" w:cs="Calibri"/>
          <w:sz w:val="20"/>
        </w:rPr>
        <w:t>Piihonua</w:t>
      </w:r>
      <w:proofErr w:type="spellEnd"/>
      <w:r w:rsidRPr="002D002E">
        <w:rPr>
          <w:rFonts w:eastAsia="Times New Roman" w:cs="Calibri"/>
          <w:sz w:val="20"/>
        </w:rPr>
        <w:t xml:space="preserve"> </w:t>
      </w:r>
      <w:proofErr w:type="spellStart"/>
      <w:r w:rsidRPr="002D002E">
        <w:rPr>
          <w:rFonts w:eastAsia="Times New Roman" w:cs="Calibri"/>
          <w:sz w:val="20"/>
        </w:rPr>
        <w:t>Albizia</w:t>
      </w:r>
      <w:proofErr w:type="spellEnd"/>
      <w:r w:rsidRPr="002D002E">
        <w:rPr>
          <w:rFonts w:eastAsia="Times New Roman" w:cs="Calibri"/>
          <w:sz w:val="20"/>
        </w:rPr>
        <w:t xml:space="preserve"> Control Team (PACT)</w:t>
      </w:r>
      <w:r w:rsidR="002D002E" w:rsidRPr="002D002E">
        <w:rPr>
          <w:rFonts w:eastAsia="Times New Roman" w:cs="Calibri"/>
          <w:sz w:val="20"/>
        </w:rPr>
        <w:t>.</w:t>
      </w:r>
    </w:p>
    <w:p w14:paraId="770CF3D3" w14:textId="77777777" w:rsidR="00C85884" w:rsidRPr="002D002E" w:rsidRDefault="00C85884" w:rsidP="0000109D">
      <w:pPr>
        <w:jc w:val="both"/>
        <w:rPr>
          <w:rFonts w:eastAsia="Times New Roman" w:cs="Calibri"/>
          <w:sz w:val="20"/>
        </w:rPr>
      </w:pPr>
    </w:p>
    <w:p w14:paraId="1FDBB213" w14:textId="60E77BD5" w:rsidR="0000109D" w:rsidRPr="002D002E" w:rsidRDefault="00C85884" w:rsidP="00C85884">
      <w:pPr>
        <w:jc w:val="center"/>
        <w:rPr>
          <w:rFonts w:eastAsia="Times New Roman" w:cs="Calibri"/>
          <w:sz w:val="20"/>
        </w:rPr>
      </w:pPr>
      <w:r w:rsidRPr="002D002E">
        <w:rPr>
          <w:rFonts w:eastAsia="Times New Roman" w:cs="Calibri"/>
          <w:noProof/>
          <w:sz w:val="20"/>
        </w:rPr>
        <w:drawing>
          <wp:inline distT="0" distB="0" distL="0" distR="0" wp14:anchorId="2B8688E6" wp14:editId="7FE9C362">
            <wp:extent cx="2560320" cy="1320772"/>
            <wp:effectExtent l="19050" t="19050" r="11430" b="133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ii.jpg"/>
                    <pic:cNvPicPr/>
                  </pic:nvPicPr>
                  <pic:blipFill rotWithShape="1">
                    <a:blip r:embed="rId6">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rcRect t="12840" b="18379"/>
                    <a:stretch/>
                  </pic:blipFill>
                  <pic:spPr bwMode="auto">
                    <a:xfrm>
                      <a:off x="0" y="0"/>
                      <a:ext cx="2560320" cy="13207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B900D6" w14:textId="77777777" w:rsidR="002D002E" w:rsidRPr="002D002E" w:rsidRDefault="002D002E" w:rsidP="002D002E">
      <w:pPr>
        <w:jc w:val="both"/>
        <w:rPr>
          <w:rFonts w:eastAsia="Times New Roman" w:cs="Calibri"/>
          <w:b/>
          <w:sz w:val="20"/>
        </w:rPr>
      </w:pPr>
    </w:p>
    <w:p w14:paraId="3A1F471B" w14:textId="77777777" w:rsidR="002D002E" w:rsidRPr="00D01C6E" w:rsidRDefault="002D002E" w:rsidP="002D002E">
      <w:pPr>
        <w:jc w:val="both"/>
        <w:rPr>
          <w:rFonts w:eastAsia="Times New Roman" w:cs="Calibri"/>
          <w:b/>
        </w:rPr>
      </w:pPr>
      <w:r w:rsidRPr="00D01C6E">
        <w:rPr>
          <w:rFonts w:eastAsia="Times New Roman" w:cs="Calibri"/>
          <w:b/>
        </w:rPr>
        <w:t>Disclaimer:</w:t>
      </w:r>
    </w:p>
    <w:p w14:paraId="05CB4A16" w14:textId="7ADD9563" w:rsidR="00C85884" w:rsidRDefault="002D002E" w:rsidP="002D002E">
      <w:pPr>
        <w:jc w:val="both"/>
        <w:rPr>
          <w:rFonts w:eastAsia="Times New Roman" w:cs="Calibri"/>
          <w:sz w:val="20"/>
        </w:rPr>
      </w:pPr>
      <w:r w:rsidRPr="002D002E">
        <w:rPr>
          <w:rFonts w:eastAsia="Times New Roman" w:cs="Calibri"/>
          <w:sz w:val="20"/>
        </w:rPr>
        <w:t xml:space="preserve">Mention of specific brand names does not constitute endorsement on the part of the authors, CTAHR, or the University of Hawai‘i. </w:t>
      </w:r>
    </w:p>
    <w:p w14:paraId="3995BF4B" w14:textId="77777777" w:rsidR="002D002E" w:rsidRPr="002D002E" w:rsidRDefault="002D002E" w:rsidP="002D002E">
      <w:pPr>
        <w:jc w:val="both"/>
        <w:rPr>
          <w:rFonts w:eastAsia="Times New Roman" w:cs="Calibri"/>
          <w:sz w:val="20"/>
        </w:rPr>
      </w:pPr>
    </w:p>
    <w:p w14:paraId="23BA9FD1" w14:textId="260CB679" w:rsidR="0000109D" w:rsidRDefault="0000109D" w:rsidP="0000109D">
      <w:pPr>
        <w:jc w:val="both"/>
        <w:rPr>
          <w:rFonts w:eastAsia="Times New Roman" w:cs="Calibri"/>
        </w:rPr>
      </w:pPr>
      <w:r w:rsidRPr="00C57D10">
        <w:rPr>
          <w:rStyle w:val="A1"/>
          <w:noProof/>
          <w:sz w:val="16"/>
        </w:rPr>
        <mc:AlternateContent>
          <mc:Choice Requires="wps">
            <w:drawing>
              <wp:inline distT="0" distB="0" distL="0" distR="0" wp14:anchorId="0C70E665" wp14:editId="60F0FE58">
                <wp:extent cx="2743200" cy="3355975"/>
                <wp:effectExtent l="0" t="0"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355975"/>
                        </a:xfrm>
                        <a:prstGeom prst="rect">
                          <a:avLst/>
                        </a:prstGeom>
                        <a:solidFill>
                          <a:srgbClr val="FFFFFF"/>
                        </a:solidFill>
                        <a:ln w="9525">
                          <a:noFill/>
                          <a:miter lim="800000"/>
                          <a:headEnd/>
                          <a:tailEnd/>
                        </a:ln>
                      </wps:spPr>
                      <wps:txbx>
                        <w:txbxContent>
                          <w:p w14:paraId="38A92042" w14:textId="77777777" w:rsidR="0000109D" w:rsidRPr="00C85884" w:rsidRDefault="0000109D" w:rsidP="002D002E">
                            <w:pPr>
                              <w:jc w:val="both"/>
                              <w:rPr>
                                <w:sz w:val="14"/>
                                <w:szCs w:val="16"/>
                              </w:rPr>
                            </w:pPr>
                            <w:r w:rsidRPr="00C85884">
                              <w:rPr>
                                <w:rStyle w:val="A1"/>
                                <w:color w:val="auto"/>
                                <w:sz w:val="14"/>
                                <w:szCs w:val="16"/>
                              </w:rPr>
                              <w:t>Published by the College of Tropical Agriculture and Human Resources (CTAHR) and issued in furtherance of Cooperative Extension work, Acts of May 8 and June 30, 1914, in co</w:t>
                            </w:r>
                            <w:r w:rsidRPr="00C85884">
                              <w:rPr>
                                <w:rStyle w:val="A1"/>
                                <w:color w:val="auto"/>
                                <w:sz w:val="14"/>
                                <w:szCs w:val="16"/>
                              </w:rPr>
                              <w:softHyphen/>
                              <w:t xml:space="preserve">operation with the U.S. Department of Agriculture, under the Director/Dean, Cooperative Extension Service/CTAHR, University of Hawai‘i at </w:t>
                            </w:r>
                            <w:proofErr w:type="spellStart"/>
                            <w:r w:rsidRPr="00C85884">
                              <w:rPr>
                                <w:rStyle w:val="A1"/>
                                <w:color w:val="auto"/>
                                <w:sz w:val="14"/>
                                <w:szCs w:val="16"/>
                              </w:rPr>
                              <w:t>M</w:t>
                            </w:r>
                            <w:r w:rsidRPr="00C85884">
                              <w:rPr>
                                <w:rStyle w:val="A1"/>
                                <w:rFonts w:ascii="Helvetica" w:hAnsi="Helvetica" w:cs="Helvetica"/>
                                <w:color w:val="auto"/>
                                <w:sz w:val="14"/>
                                <w:szCs w:val="16"/>
                              </w:rPr>
                              <w:t>ā</w:t>
                            </w:r>
                            <w:r w:rsidRPr="00C85884">
                              <w:rPr>
                                <w:rStyle w:val="A1"/>
                                <w:color w:val="auto"/>
                                <w:sz w:val="14"/>
                                <w:szCs w:val="16"/>
                              </w:rPr>
                              <w:t>noa</w:t>
                            </w:r>
                            <w:proofErr w:type="spellEnd"/>
                            <w:r w:rsidRPr="00C85884">
                              <w:rPr>
                                <w:rStyle w:val="A1"/>
                                <w:color w:val="auto"/>
                                <w:sz w:val="14"/>
                                <w:szCs w:val="16"/>
                              </w:rPr>
                              <w:t>, Honolulu, Hawai‘i 96822.Copyright 2011, University of Hawai‘i. For reproduction and use permission, contact the CTAHR Office of Communication Services, ocs@ctahr.hawaii.edu, 808-956-7036. The university is an equal opportunity/affirmative action institution providing programs and services to the people of Hawai‘i without regard to race, sex, gender identity and expression, age, religion, color, national origin, ancestry, disability, marital status, arrest and court record, sexual orientation, or status as a covered veteran. Find CTAHR publications at www.ctahr.hawaii.edu/freepubs.</w:t>
                            </w:r>
                          </w:p>
                        </w:txbxContent>
                      </wps:txbx>
                      <wps:bodyPr rot="0" vert="horz" wrap="square" lIns="91440" tIns="45720" rIns="91440" bIns="45720" anchor="t" anchorCtr="0">
                        <a:spAutoFit/>
                      </wps:bodyPr>
                    </wps:wsp>
                  </a:graphicData>
                </a:graphic>
              </wp:inline>
            </w:drawing>
          </mc:Choice>
          <mc:Fallback>
            <w:pict>
              <v:shapetype w14:anchorId="0C70E665" id="_x0000_t202" coordsize="21600,21600" o:spt="202" path="m,l,21600r21600,l21600,xe">
                <v:stroke joinstyle="miter"/>
                <v:path gradientshapeok="t" o:connecttype="rect"/>
              </v:shapetype>
              <v:shape id="Text Box 2" o:spid="_x0000_s1026" type="#_x0000_t202" style="width:3in;height:26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" stroked="f">
                <v:textbox style="mso-fit-shape-to-text:t">
                  <w:txbxContent>
                    <w:p w14:paraId="38A92042" w14:textId="77777777" w:rsidR="0000109D" w:rsidRPr="00C85884" w:rsidRDefault="0000109D" w:rsidP="002D002E">
                      <w:pPr>
                        <w:jc w:val="both"/>
                        <w:rPr>
                          <w:sz w:val="14"/>
                          <w:szCs w:val="16"/>
                        </w:rPr>
                      </w:pPr>
                      <w:r w:rsidRPr="00C85884">
                        <w:rPr>
                          <w:rStyle w:val="A1"/>
                          <w:color w:val="auto"/>
                          <w:sz w:val="14"/>
                          <w:szCs w:val="16"/>
                        </w:rPr>
                        <w:t>Published by the College of Tropical Agriculture and Human Resources (CTAHR) and issued in furtherance of Cooperative Extension work, Acts of May 8 and June 30, 1914, in co</w:t>
                      </w:r>
                      <w:r w:rsidRPr="00C85884">
                        <w:rPr>
                          <w:rStyle w:val="A1"/>
                          <w:color w:val="auto"/>
                          <w:sz w:val="14"/>
                          <w:szCs w:val="16"/>
                        </w:rPr>
                        <w:softHyphen/>
                        <w:t xml:space="preserve">operation with the U.S. Department of Agriculture, under the Director/Dean, Cooperative Extension Service/CTAHR, University of Hawai‘i at </w:t>
                      </w:r>
                      <w:proofErr w:type="spellStart"/>
                      <w:r w:rsidRPr="00C85884">
                        <w:rPr>
                          <w:rStyle w:val="A1"/>
                          <w:color w:val="auto"/>
                          <w:sz w:val="14"/>
                          <w:szCs w:val="16"/>
                        </w:rPr>
                        <w:t>M</w:t>
                      </w:r>
                      <w:r w:rsidRPr="00C85884">
                        <w:rPr>
                          <w:rStyle w:val="A1"/>
                          <w:rFonts w:ascii="Helvetica" w:hAnsi="Helvetica" w:cs="Helvetica"/>
                          <w:color w:val="auto"/>
                          <w:sz w:val="14"/>
                          <w:szCs w:val="16"/>
                        </w:rPr>
                        <w:t>ā</w:t>
                      </w:r>
                      <w:r w:rsidRPr="00C85884">
                        <w:rPr>
                          <w:rStyle w:val="A1"/>
                          <w:color w:val="auto"/>
                          <w:sz w:val="14"/>
                          <w:szCs w:val="16"/>
                        </w:rPr>
                        <w:t>noa</w:t>
                      </w:r>
                      <w:proofErr w:type="spellEnd"/>
                      <w:r w:rsidRPr="00C85884">
                        <w:rPr>
                          <w:rStyle w:val="A1"/>
                          <w:color w:val="auto"/>
                          <w:sz w:val="14"/>
                          <w:szCs w:val="16"/>
                        </w:rPr>
                        <w:t>, Honolulu, Hawai‘i 96822.Copyright 2011, University of Hawai‘i. For reproduction and use permission, contact the CTAHR Office of Communication Services, ocs@ctahr.hawaii.edu, 808-956-7036. The university is an equal opportunity/affirmative action institution providing programs and services to the people of Hawai‘i without regard to race, sex, gender identity and expression, age, religion, color, national origin, ancestry, disability, marital status, arrest and court record, sexual orientation, or status as a covered veteran. Find CTAHR publications at www.ctahr.hawaii.edu/freepubs.</w:t>
                      </w:r>
                    </w:p>
                  </w:txbxContent>
                </v:textbox>
                <w10:anchorlock/>
              </v:shape>
            </w:pict>
          </mc:Fallback>
        </mc:AlternateContent>
      </w:r>
    </w:p>
    <w:p w14:paraId="3F063C64" w14:textId="77777777" w:rsidR="00E66E13" w:rsidRDefault="00E66E13" w:rsidP="0000109D">
      <w:pPr>
        <w:jc w:val="center"/>
        <w:rPr>
          <w:rFonts w:eastAsia="Times New Roman" w:cs="Calibri"/>
          <w:sz w:val="28"/>
        </w:rPr>
      </w:pPr>
    </w:p>
    <w:p w14:paraId="6E143516" w14:textId="77777777" w:rsidR="00E66E13" w:rsidRDefault="00E66E13" w:rsidP="0000109D">
      <w:pPr>
        <w:jc w:val="center"/>
        <w:rPr>
          <w:rFonts w:eastAsia="Times New Roman" w:cs="Calibri"/>
          <w:sz w:val="28"/>
        </w:rPr>
      </w:pPr>
    </w:p>
    <w:p w14:paraId="3DE218F3" w14:textId="77777777" w:rsidR="00E66E13" w:rsidRDefault="00E66E13" w:rsidP="0000109D">
      <w:pPr>
        <w:jc w:val="center"/>
        <w:rPr>
          <w:rFonts w:eastAsia="Times New Roman" w:cs="Calibri"/>
          <w:sz w:val="28"/>
        </w:rPr>
      </w:pPr>
    </w:p>
    <w:p w14:paraId="335D9E53" w14:textId="77777777" w:rsidR="00E66E13" w:rsidRDefault="00E66E13" w:rsidP="0000109D">
      <w:pPr>
        <w:jc w:val="center"/>
        <w:rPr>
          <w:rFonts w:eastAsia="Times New Roman" w:cs="Calibri"/>
          <w:sz w:val="28"/>
        </w:rPr>
      </w:pPr>
    </w:p>
    <w:p w14:paraId="706DBB16" w14:textId="25E3E890" w:rsidR="00C54388" w:rsidRPr="00E66E13" w:rsidRDefault="00C85884" w:rsidP="0000109D">
      <w:pPr>
        <w:jc w:val="center"/>
        <w:rPr>
          <w:rFonts w:eastAsia="Times New Roman" w:cs="Calibri"/>
          <w:sz w:val="24"/>
        </w:rPr>
      </w:pPr>
      <w:r w:rsidRPr="00E66E13">
        <w:rPr>
          <w:rFonts w:eastAsia="Times New Roman" w:cs="Calibri"/>
          <w:sz w:val="24"/>
        </w:rPr>
        <w:t>P</w:t>
      </w:r>
      <w:r w:rsidR="00C54388" w:rsidRPr="00E66E13">
        <w:rPr>
          <w:rFonts w:eastAsia="Times New Roman" w:cs="Calibri"/>
          <w:sz w:val="24"/>
        </w:rPr>
        <w:t>roper Technique for Injecting Albizia (</w:t>
      </w:r>
      <w:r w:rsidR="007A6154" w:rsidRPr="00E66E13">
        <w:rPr>
          <w:rFonts w:eastAsia="Times New Roman" w:cs="Calibri"/>
          <w:i/>
          <w:sz w:val="24"/>
        </w:rPr>
        <w:t>Falcataria moluccana</w:t>
      </w:r>
      <w:r w:rsidR="00C54388" w:rsidRPr="00E66E13">
        <w:rPr>
          <w:rFonts w:eastAsia="Times New Roman" w:cs="Calibri"/>
          <w:i/>
          <w:sz w:val="24"/>
        </w:rPr>
        <w:t xml:space="preserve"> </w:t>
      </w:r>
      <w:r w:rsidR="00C54388" w:rsidRPr="00E66E13">
        <w:rPr>
          <w:rFonts w:eastAsia="Times New Roman" w:cs="Calibri"/>
          <w:sz w:val="24"/>
        </w:rPr>
        <w:t xml:space="preserve">L.) with the herbicide Milestone® (active ingredient: </w:t>
      </w:r>
      <w:proofErr w:type="spellStart"/>
      <w:r w:rsidR="00C54388" w:rsidRPr="00E66E13">
        <w:rPr>
          <w:rFonts w:eastAsia="Times New Roman" w:cs="Calibri"/>
          <w:sz w:val="24"/>
        </w:rPr>
        <w:t>Aminopyralid</w:t>
      </w:r>
      <w:proofErr w:type="spellEnd"/>
      <w:r w:rsidR="00C54388" w:rsidRPr="00E66E13">
        <w:rPr>
          <w:rFonts w:eastAsia="Times New Roman" w:cs="Calibri"/>
          <w:sz w:val="24"/>
        </w:rPr>
        <w:t>)</w:t>
      </w:r>
    </w:p>
    <w:p w14:paraId="3CAF2072" w14:textId="77777777" w:rsidR="00C54388" w:rsidRPr="006F4768" w:rsidRDefault="00C54388" w:rsidP="00C54388">
      <w:pPr>
        <w:jc w:val="both"/>
        <w:rPr>
          <w:rFonts w:eastAsia="Times New Roman" w:cs="Calibri"/>
        </w:rPr>
      </w:pPr>
    </w:p>
    <w:p w14:paraId="257C988C" w14:textId="2F8A9651" w:rsidR="00C54388" w:rsidRPr="006F4768" w:rsidRDefault="00C54388" w:rsidP="00C54388">
      <w:pPr>
        <w:jc w:val="center"/>
        <w:rPr>
          <w:rFonts w:eastAsia="Times New Roman" w:cs="Calibri"/>
        </w:rPr>
      </w:pPr>
      <w:r w:rsidRPr="006F4768">
        <w:rPr>
          <w:rFonts w:eastAsia="Times New Roman" w:cs="Calibri"/>
          <w:noProof/>
        </w:rPr>
        <w:drawing>
          <wp:inline distT="0" distB="0" distL="0" distR="0" wp14:anchorId="74397D0E" wp14:editId="7B53C6A8">
            <wp:extent cx="2560320" cy="1327643"/>
            <wp:effectExtent l="19050" t="19050" r="11430" b="254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3208.JPG"/>
                    <pic:cNvPicPr/>
                  </pic:nvPicPr>
                  <pic:blipFill rotWithShape="1">
                    <a:blip r:embed="rId8" cstate="print">
                      <a:extLst>
                        <a:ext uri="{BEBA8EAE-BF5A-486C-A8C5-ECC9F3942E4B}">
                          <a14:imgProps xmlns:a14="http://schemas.microsoft.com/office/drawing/2010/main">
                            <a14:imgLayer r:embed="rId9">
                              <a14:imgEffect>
                                <a14:brightnessContrast bright="10000"/>
                              </a14:imgEffect>
                            </a14:imgLayer>
                          </a14:imgProps>
                        </a:ext>
                        <a:ext uri="{28A0092B-C50C-407E-A947-70E740481C1C}">
                          <a14:useLocalDpi xmlns:a14="http://schemas.microsoft.com/office/drawing/2010/main" val="0"/>
                        </a:ext>
                      </a:extLst>
                    </a:blip>
                    <a:srcRect l="47440" b="63660"/>
                    <a:stretch/>
                  </pic:blipFill>
                  <pic:spPr bwMode="auto">
                    <a:xfrm>
                      <a:off x="0" y="0"/>
                      <a:ext cx="2560320" cy="132764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F4F240" w14:textId="74183D5D" w:rsidR="00C54388" w:rsidRDefault="00C54388" w:rsidP="00C54388">
      <w:pPr>
        <w:jc w:val="both"/>
        <w:rPr>
          <w:rFonts w:eastAsia="Times New Roman" w:cs="Calibri"/>
        </w:rPr>
      </w:pPr>
    </w:p>
    <w:p w14:paraId="04C35F6E" w14:textId="001FE685" w:rsidR="001E62E9" w:rsidRPr="006F4768" w:rsidRDefault="0000109D" w:rsidP="0000109D">
      <w:pPr>
        <w:jc w:val="center"/>
        <w:rPr>
          <w:rFonts w:eastAsia="Times New Roman" w:cs="Calibri"/>
        </w:rPr>
      </w:pPr>
      <w:r>
        <w:rPr>
          <w:rFonts w:eastAsia="Times New Roman" w:cs="Calibri"/>
          <w:noProof/>
        </w:rPr>
        <w:drawing>
          <wp:inline distT="0" distB="0" distL="0" distR="0" wp14:anchorId="62DB3B2E" wp14:editId="5EBC1E45">
            <wp:extent cx="2560320" cy="1675200"/>
            <wp:effectExtent l="19050" t="19050" r="11430" b="203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alcataria mol killed WKOP clearcut (1).JPG"/>
                    <pic:cNvPicPr/>
                  </pic:nvPicPr>
                  <pic:blipFill rotWithShape="1">
                    <a:blip r:embed="rId10">
                      <a:extLst>
                        <a:ext uri="{28A0092B-C50C-407E-A947-70E740481C1C}">
                          <a14:useLocalDpi xmlns:a14="http://schemas.microsoft.com/office/drawing/2010/main" val="0"/>
                        </a:ext>
                      </a:extLst>
                    </a:blip>
                    <a:srcRect t="9100" r="25851" b="18127"/>
                    <a:stretch/>
                  </pic:blipFill>
                  <pic:spPr bwMode="auto">
                    <a:xfrm>
                      <a:off x="0" y="0"/>
                      <a:ext cx="2560320" cy="16752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3DAE31C" w14:textId="77777777" w:rsidR="00C54388" w:rsidRPr="006F4768" w:rsidRDefault="00C54388" w:rsidP="00C54388">
      <w:pPr>
        <w:jc w:val="both"/>
        <w:rPr>
          <w:rFonts w:eastAsia="Times New Roman" w:cs="Calibri"/>
        </w:rPr>
      </w:pPr>
    </w:p>
    <w:p w14:paraId="197EDC12" w14:textId="68A60A89" w:rsidR="001E62E9" w:rsidRDefault="00C54388" w:rsidP="00C54388">
      <w:pPr>
        <w:ind w:firstLine="360"/>
        <w:jc w:val="both"/>
        <w:rPr>
          <w:rFonts w:eastAsia="Times New Roman" w:cs="Calibri"/>
          <w:noProof/>
        </w:rPr>
      </w:pPr>
      <w:r w:rsidRPr="006F4768">
        <w:rPr>
          <w:rFonts w:eastAsia="Times New Roman" w:cs="Calibri"/>
        </w:rPr>
        <w:t xml:space="preserve">This guide </w:t>
      </w:r>
      <w:r>
        <w:rPr>
          <w:rFonts w:eastAsia="Times New Roman" w:cs="Calibri"/>
        </w:rPr>
        <w:t>explains how to</w:t>
      </w:r>
      <w:r w:rsidRPr="006F4768">
        <w:rPr>
          <w:rFonts w:eastAsia="Times New Roman" w:cs="Calibri"/>
        </w:rPr>
        <w:t xml:space="preserve"> administer an effective herbicide injection applic</w:t>
      </w:r>
      <w:r w:rsidR="005B6E76">
        <w:rPr>
          <w:rFonts w:eastAsia="Times New Roman" w:cs="Calibri"/>
        </w:rPr>
        <w:t xml:space="preserve">ation </w:t>
      </w:r>
      <w:r>
        <w:rPr>
          <w:rFonts w:eastAsia="Times New Roman" w:cs="Calibri"/>
        </w:rPr>
        <w:t xml:space="preserve">to medium and </w:t>
      </w:r>
      <w:r w:rsidRPr="006F4768">
        <w:rPr>
          <w:rFonts w:eastAsia="Times New Roman" w:cs="Calibri"/>
        </w:rPr>
        <w:t xml:space="preserve">large albizia canopy trees occupying natural areas in accordance to </w:t>
      </w:r>
      <w:r w:rsidR="004E7C2C">
        <w:rPr>
          <w:rFonts w:eastAsia="Times New Roman" w:cs="Calibri"/>
        </w:rPr>
        <w:t xml:space="preserve">the </w:t>
      </w:r>
      <w:r w:rsidR="004E7C2C" w:rsidRPr="00311D7A">
        <w:rPr>
          <w:rFonts w:asciiTheme="minorHAnsi" w:hAnsiTheme="minorHAnsi" w:cs="Arial"/>
          <w:shd w:val="clear" w:color="auto" w:fill="FFFFFF"/>
        </w:rPr>
        <w:t xml:space="preserve">Milestone® Specialty Herbicide, </w:t>
      </w:r>
      <w:r w:rsidR="004E7C2C">
        <w:rPr>
          <w:rFonts w:asciiTheme="minorHAnsi" w:hAnsiTheme="minorHAnsi" w:cs="Arial"/>
          <w:shd w:val="clear" w:color="auto" w:fill="FFFFFF"/>
        </w:rPr>
        <w:t>(</w:t>
      </w:r>
      <w:r w:rsidR="004E7C2C" w:rsidRPr="00311D7A">
        <w:rPr>
          <w:rFonts w:asciiTheme="minorHAnsi" w:hAnsiTheme="minorHAnsi" w:cs="Arial"/>
          <w:shd w:val="clear" w:color="auto" w:fill="FFFFFF"/>
        </w:rPr>
        <w:t xml:space="preserve">EPA </w:t>
      </w:r>
      <w:proofErr w:type="spellStart"/>
      <w:r w:rsidR="004E7C2C" w:rsidRPr="00311D7A">
        <w:rPr>
          <w:rFonts w:asciiTheme="minorHAnsi" w:hAnsiTheme="minorHAnsi" w:cs="Arial"/>
          <w:shd w:val="clear" w:color="auto" w:fill="FFFFFF"/>
        </w:rPr>
        <w:t>Reg</w:t>
      </w:r>
      <w:proofErr w:type="spellEnd"/>
      <w:r w:rsidR="004E7C2C" w:rsidRPr="00311D7A">
        <w:rPr>
          <w:rFonts w:asciiTheme="minorHAnsi" w:hAnsiTheme="minorHAnsi" w:cs="Arial"/>
          <w:shd w:val="clear" w:color="auto" w:fill="FFFFFF"/>
        </w:rPr>
        <w:t xml:space="preserve"> No. 62719-519</w:t>
      </w:r>
      <w:r w:rsidR="004E7C2C">
        <w:rPr>
          <w:rFonts w:asciiTheme="minorHAnsi" w:hAnsiTheme="minorHAnsi" w:cs="Arial"/>
          <w:shd w:val="clear" w:color="auto" w:fill="FFFFFF"/>
        </w:rPr>
        <w:t>). This guide was updated 9/1/2016.</w:t>
      </w:r>
      <w:r w:rsidR="004E7C2C" w:rsidRPr="00311D7A">
        <w:rPr>
          <w:rFonts w:asciiTheme="minorHAnsi" w:hAnsiTheme="minorHAnsi" w:cs="Arial"/>
          <w:shd w:val="clear" w:color="auto" w:fill="FFFFFF"/>
        </w:rPr>
        <w:t xml:space="preserve"> </w:t>
      </w:r>
      <w:r w:rsidR="004E7C2C">
        <w:rPr>
          <w:rFonts w:eastAsia="Times New Roman" w:cs="Calibri"/>
        </w:rPr>
        <w:t xml:space="preserve"> </w:t>
      </w:r>
      <w:r>
        <w:rPr>
          <w:rFonts w:eastAsia="Times New Roman" w:cs="Calibri"/>
        </w:rPr>
        <w:t>I</w:t>
      </w:r>
      <w:r w:rsidRPr="006F4768">
        <w:rPr>
          <w:rFonts w:eastAsia="Times New Roman" w:cs="Calibri"/>
        </w:rPr>
        <w:t xml:space="preserve">t is a violation of Federal law to use this </w:t>
      </w:r>
      <w:r>
        <w:rPr>
          <w:rFonts w:eastAsia="Times New Roman" w:cs="Calibri"/>
        </w:rPr>
        <w:t>herbicide</w:t>
      </w:r>
      <w:r w:rsidRPr="006F4768">
        <w:rPr>
          <w:rFonts w:eastAsia="Times New Roman" w:cs="Calibri"/>
        </w:rPr>
        <w:t xml:space="preserve"> in a manner inconsistent with its </w:t>
      </w:r>
      <w:r>
        <w:rPr>
          <w:rFonts w:eastAsia="Times New Roman" w:cs="Calibri"/>
        </w:rPr>
        <w:t>registered application methods</w:t>
      </w:r>
      <w:r w:rsidRPr="006F4768">
        <w:rPr>
          <w:rFonts w:eastAsia="Times New Roman" w:cs="Calibri"/>
        </w:rPr>
        <w:t>.  ALWAYS READ THE LABEL FIRST!</w:t>
      </w:r>
      <w:r w:rsidRPr="006F4768">
        <w:rPr>
          <w:rFonts w:eastAsia="Times New Roman" w:cs="Calibri"/>
          <w:noProof/>
        </w:rPr>
        <w:t xml:space="preserve"> </w:t>
      </w:r>
    </w:p>
    <w:p w14:paraId="41BDCF73" w14:textId="77777777" w:rsidR="00C85884" w:rsidRDefault="00C85884" w:rsidP="00C54388">
      <w:pPr>
        <w:ind w:firstLine="360"/>
        <w:jc w:val="both"/>
        <w:rPr>
          <w:rFonts w:eastAsia="Times New Roman" w:cs="Calibri"/>
          <w:noProof/>
        </w:rPr>
      </w:pPr>
    </w:p>
    <w:p w14:paraId="46C2401F" w14:textId="4B3A1F74" w:rsidR="00C57D10" w:rsidRDefault="001E62E9">
      <w:pPr>
        <w:spacing w:after="160" w:line="259" w:lineRule="auto"/>
        <w:rPr>
          <w:rFonts w:eastAsia="Times New Roman" w:cs="Calibri"/>
        </w:rPr>
      </w:pPr>
      <w:r w:rsidRPr="006F4768">
        <w:rPr>
          <w:rFonts w:eastAsia="Times New Roman" w:cs="Calibri"/>
          <w:noProof/>
        </w:rPr>
        <w:drawing>
          <wp:inline distT="0" distB="0" distL="0" distR="0" wp14:anchorId="17986D96" wp14:editId="1568A041">
            <wp:extent cx="2743200" cy="61404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_ces_fl_cl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43200" cy="614045"/>
                    </a:xfrm>
                    <a:prstGeom prst="rect">
                      <a:avLst/>
                    </a:prstGeom>
                  </pic:spPr>
                </pic:pic>
              </a:graphicData>
            </a:graphic>
          </wp:inline>
        </w:drawing>
      </w:r>
      <w:r w:rsidR="00C57D10">
        <w:rPr>
          <w:rFonts w:eastAsia="Times New Roman" w:cs="Calibri"/>
        </w:rPr>
        <w:br w:type="page"/>
      </w:r>
    </w:p>
    <w:p w14:paraId="06174333" w14:textId="298FB0F8" w:rsidR="00B01BCE" w:rsidRPr="001639F6" w:rsidRDefault="00C54388" w:rsidP="001E62E9">
      <w:pPr>
        <w:ind w:firstLine="720"/>
        <w:jc w:val="both"/>
        <w:rPr>
          <w:rFonts w:eastAsia="Times New Roman" w:cs="Calibri"/>
          <w:b/>
          <w:i/>
        </w:rPr>
      </w:pPr>
      <w:r>
        <w:rPr>
          <w:rFonts w:eastAsia="Times New Roman" w:cs="Calibri"/>
        </w:rPr>
        <w:lastRenderedPageBreak/>
        <w:t>T</w:t>
      </w:r>
      <w:r w:rsidR="00B01BCE" w:rsidRPr="006F4768">
        <w:rPr>
          <w:rFonts w:eastAsia="Times New Roman" w:cs="Calibri"/>
        </w:rPr>
        <w:t xml:space="preserve">he injection method, also known as Incision </w:t>
      </w:r>
      <w:r w:rsidR="00B01BCE" w:rsidRPr="005B6E76">
        <w:rPr>
          <w:rFonts w:eastAsia="Times New Roman" w:cs="Calibri"/>
        </w:rPr>
        <w:t>Point Application (IPA)</w:t>
      </w:r>
      <w:r w:rsidR="00A829C2" w:rsidRPr="005B6E76">
        <w:rPr>
          <w:rFonts w:eastAsia="Times New Roman" w:cs="Calibri"/>
        </w:rPr>
        <w:t xml:space="preserve">, </w:t>
      </w:r>
      <w:r w:rsidR="00B01BCE" w:rsidRPr="005B6E76">
        <w:rPr>
          <w:rFonts w:eastAsia="Times New Roman" w:cs="Calibri"/>
        </w:rPr>
        <w:t xml:space="preserve">is a calibrated, hygienic, and efficient technique for administering suppressive or lethal herbicide doses directly to the exposed vascular systems of woody species. In previous studies, Milestone® </w:t>
      </w:r>
      <w:r w:rsidR="005B6E76" w:rsidRPr="005B6E76">
        <w:rPr>
          <w:rFonts w:eastAsia="Times New Roman" w:cs="Calibri"/>
        </w:rPr>
        <w:t xml:space="preserve">(active ingredient </w:t>
      </w:r>
      <w:proofErr w:type="spellStart"/>
      <w:r w:rsidR="005B6E76" w:rsidRPr="005B6E76">
        <w:rPr>
          <w:rFonts w:eastAsia="Times New Roman" w:cs="Calibri"/>
        </w:rPr>
        <w:t>aminopyralid</w:t>
      </w:r>
      <w:proofErr w:type="spellEnd"/>
      <w:r w:rsidR="005B6E76" w:rsidRPr="005B6E76">
        <w:rPr>
          <w:rFonts w:eastAsia="Times New Roman" w:cs="Calibri"/>
        </w:rPr>
        <w:t xml:space="preserve">; </w:t>
      </w:r>
      <w:r w:rsidR="005B6E76" w:rsidRPr="005B6E76">
        <w:rPr>
          <w:rFonts w:asciiTheme="minorHAnsi" w:hAnsiTheme="minorHAnsi" w:cs="Arial"/>
          <w:shd w:val="clear" w:color="auto" w:fill="FFFFFF"/>
        </w:rPr>
        <w:t xml:space="preserve">Dow </w:t>
      </w:r>
      <w:proofErr w:type="spellStart"/>
      <w:r w:rsidR="005B6E76" w:rsidRPr="005B6E76">
        <w:rPr>
          <w:rFonts w:asciiTheme="minorHAnsi" w:hAnsiTheme="minorHAnsi" w:cs="Arial"/>
          <w:shd w:val="clear" w:color="auto" w:fill="FFFFFF"/>
        </w:rPr>
        <w:t>AgroSciences</w:t>
      </w:r>
      <w:proofErr w:type="spellEnd"/>
      <w:r w:rsidR="005B6E76" w:rsidRPr="005B6E76">
        <w:rPr>
          <w:rFonts w:asciiTheme="minorHAnsi" w:hAnsiTheme="minorHAnsi" w:cs="Arial"/>
          <w:shd w:val="clear" w:color="auto" w:fill="FFFFFF"/>
        </w:rPr>
        <w:t xml:space="preserve"> LLC, Indianapolis, IN</w:t>
      </w:r>
      <w:r w:rsidR="005B6E76" w:rsidRPr="005B6E76">
        <w:rPr>
          <w:rFonts w:eastAsia="Times New Roman" w:cs="Calibri"/>
        </w:rPr>
        <w:t>) injections were proven to be</w:t>
      </w:r>
      <w:r w:rsidR="00B01BCE" w:rsidRPr="005B6E76">
        <w:rPr>
          <w:rFonts w:eastAsia="Times New Roman" w:cs="Calibri"/>
        </w:rPr>
        <w:t xml:space="preserve"> lethal to </w:t>
      </w:r>
      <w:bookmarkStart w:id="0" w:name="_GoBack"/>
      <w:bookmarkEnd w:id="0"/>
      <w:r w:rsidR="00B01BCE" w:rsidRPr="005B6E76">
        <w:rPr>
          <w:rFonts w:eastAsia="Times New Roman" w:cs="Calibri"/>
        </w:rPr>
        <w:t>12 in. trunk diameter, albizia trees administered</w:t>
      </w:r>
      <w:r w:rsidR="00B01BCE" w:rsidRPr="006F4768">
        <w:rPr>
          <w:rFonts w:eastAsia="Times New Roman" w:cs="Calibri"/>
        </w:rPr>
        <w:t xml:space="preserve"> with </w:t>
      </w:r>
      <w:r w:rsidR="00B01BCE" w:rsidRPr="0000109D">
        <w:rPr>
          <w:rFonts w:eastAsia="Times New Roman" w:cs="Calibri"/>
        </w:rPr>
        <w:t>a</w:t>
      </w:r>
      <w:r w:rsidR="00B01BCE" w:rsidRPr="006F4768">
        <w:rPr>
          <w:rFonts w:eastAsia="Times New Roman" w:cs="Calibri"/>
        </w:rPr>
        <w:t xml:space="preserve"> </w:t>
      </w:r>
      <w:r w:rsidR="00B01BCE" w:rsidRPr="0000109D">
        <w:rPr>
          <w:rFonts w:eastAsia="Times New Roman" w:cs="Calibri"/>
          <w:b/>
          <w:i/>
          <w:sz w:val="24"/>
        </w:rPr>
        <w:t xml:space="preserve">0.5 ml dose of undiluted herbicide injected into hatchet incisions spaced every 10 in. around the circumference of the trunk, at a height within 3 ft. above ground level. For trunks &gt;24 in. diameter, injections should be spaced every 5 in. </w:t>
      </w:r>
      <w:r w:rsidR="00C17EE8">
        <w:rPr>
          <w:rFonts w:eastAsia="Times New Roman" w:cs="Calibri"/>
          <w:b/>
          <w:i/>
          <w:sz w:val="24"/>
        </w:rPr>
        <w:t>F</w:t>
      </w:r>
      <w:r w:rsidR="00C17EE8" w:rsidRPr="0000109D">
        <w:rPr>
          <w:rFonts w:eastAsia="Times New Roman" w:cs="Calibri"/>
          <w:b/>
          <w:i/>
          <w:sz w:val="24"/>
        </w:rPr>
        <w:t xml:space="preserve">or trunks &gt;36 in. diameter injections should be </w:t>
      </w:r>
      <w:r w:rsidR="00B01BCE" w:rsidRPr="0000109D">
        <w:rPr>
          <w:rFonts w:eastAsia="Times New Roman" w:cs="Calibri"/>
          <w:b/>
          <w:i/>
          <w:sz w:val="24"/>
        </w:rPr>
        <w:t xml:space="preserve">spaced every 2 in. (complete girdle).  </w:t>
      </w:r>
    </w:p>
    <w:p w14:paraId="1984C7FB" w14:textId="77777777" w:rsidR="00B01BCE" w:rsidRPr="006F4768" w:rsidRDefault="00B01BCE" w:rsidP="00B01BCE"/>
    <w:p w14:paraId="15F8972B" w14:textId="12EB0222" w:rsidR="00B01BCE" w:rsidRPr="006F4768" w:rsidRDefault="00B01BCE" w:rsidP="00B01BCE">
      <w:pPr>
        <w:jc w:val="both"/>
        <w:rPr>
          <w:rFonts w:eastAsia="Times New Roman" w:cs="Calibri"/>
          <w:b/>
        </w:rPr>
      </w:pPr>
      <w:r w:rsidRPr="006F4768">
        <w:rPr>
          <w:rFonts w:eastAsia="Times New Roman" w:cs="Calibri"/>
          <w:b/>
        </w:rPr>
        <w:t>Application Technique</w:t>
      </w:r>
      <w:r w:rsidR="00A4189A">
        <w:rPr>
          <w:rFonts w:eastAsia="Times New Roman" w:cs="Calibri"/>
          <w:b/>
        </w:rPr>
        <w:t>:</w:t>
      </w:r>
    </w:p>
    <w:p w14:paraId="3888B820" w14:textId="3E094ABC" w:rsidR="00B01BCE" w:rsidRPr="006F4768" w:rsidRDefault="00B01BCE" w:rsidP="005B6E76">
      <w:pPr>
        <w:jc w:val="both"/>
        <w:rPr>
          <w:rFonts w:eastAsia="Times New Roman" w:cs="Calibri"/>
        </w:rPr>
      </w:pPr>
      <w:r>
        <w:rPr>
          <w:rFonts w:eastAsia="Times New Roman" w:cs="Calibri"/>
        </w:rPr>
        <w:t>1. M</w:t>
      </w:r>
      <w:r w:rsidRPr="006F4768">
        <w:rPr>
          <w:rFonts w:eastAsia="Times New Roman" w:cs="Calibri"/>
        </w:rPr>
        <w:t xml:space="preserve">ake an incision </w:t>
      </w:r>
      <w:r>
        <w:rPr>
          <w:rFonts w:eastAsia="Times New Roman" w:cs="Calibri"/>
        </w:rPr>
        <w:t xml:space="preserve">with the hatchet </w:t>
      </w:r>
      <w:r w:rsidRPr="006F4768">
        <w:rPr>
          <w:rFonts w:eastAsia="Times New Roman" w:cs="Calibri"/>
        </w:rPr>
        <w:t>at a 45</w:t>
      </w:r>
      <w:r w:rsidRPr="006F4768">
        <w:rPr>
          <w:rFonts w:eastAsia="Times New Roman" w:cs="Calibri"/>
          <w:vertAlign w:val="superscript"/>
        </w:rPr>
        <w:t>o</w:t>
      </w:r>
      <w:r w:rsidRPr="006F4768">
        <w:rPr>
          <w:rFonts w:eastAsia="Times New Roman" w:cs="Calibri"/>
        </w:rPr>
        <w:t xml:space="preserve"> angle that penetrates just beyond the </w:t>
      </w:r>
      <w:r w:rsidR="005B6E76">
        <w:rPr>
          <w:rFonts w:eastAsia="Times New Roman" w:cs="Calibri"/>
        </w:rPr>
        <w:t xml:space="preserve">bark and </w:t>
      </w:r>
      <w:r w:rsidRPr="006F4768">
        <w:rPr>
          <w:rFonts w:eastAsia="Times New Roman" w:cs="Calibri"/>
        </w:rPr>
        <w:t>cambium layer</w:t>
      </w:r>
      <w:r w:rsidR="005B6E76">
        <w:rPr>
          <w:rFonts w:eastAsia="Times New Roman" w:cs="Calibri"/>
        </w:rPr>
        <w:t>s</w:t>
      </w:r>
      <w:r w:rsidRPr="006F4768">
        <w:rPr>
          <w:rFonts w:eastAsia="Times New Roman" w:cs="Calibri"/>
        </w:rPr>
        <w:t xml:space="preserve"> (approximately </w:t>
      </w:r>
      <w:r>
        <w:rPr>
          <w:rFonts w:eastAsia="Times New Roman" w:cs="Calibri"/>
        </w:rPr>
        <w:t>2</w:t>
      </w:r>
      <w:r w:rsidR="005B6E76">
        <w:rPr>
          <w:rFonts w:eastAsia="Times New Roman" w:cs="Calibri"/>
        </w:rPr>
        <w:t>-3</w:t>
      </w:r>
      <w:r>
        <w:rPr>
          <w:rFonts w:eastAsia="Times New Roman" w:cs="Calibri"/>
        </w:rPr>
        <w:t xml:space="preserve"> in.</w:t>
      </w:r>
      <w:r w:rsidRPr="006F4768">
        <w:rPr>
          <w:rFonts w:eastAsia="Times New Roman" w:cs="Calibri"/>
        </w:rPr>
        <w:t xml:space="preserve"> deep) so that it creat</w:t>
      </w:r>
      <w:r>
        <w:rPr>
          <w:rFonts w:eastAsia="Times New Roman" w:cs="Calibri"/>
        </w:rPr>
        <w:t>es an intact trough/notch</w:t>
      </w:r>
      <w:r w:rsidR="005B6E76">
        <w:rPr>
          <w:rFonts w:eastAsia="Times New Roman" w:cs="Calibri"/>
        </w:rPr>
        <w:t xml:space="preserve"> (see figure)</w:t>
      </w:r>
      <w:r w:rsidRPr="006F4768">
        <w:rPr>
          <w:rFonts w:eastAsia="Times New Roman" w:cs="Calibri"/>
        </w:rPr>
        <w:t>. You may widen the notch by wiggli</w:t>
      </w:r>
      <w:r>
        <w:rPr>
          <w:rFonts w:eastAsia="Times New Roman" w:cs="Calibri"/>
        </w:rPr>
        <w:t xml:space="preserve">ng the blade. </w:t>
      </w:r>
    </w:p>
    <w:p w14:paraId="700C81CF" w14:textId="77777777" w:rsidR="00B01BCE" w:rsidRDefault="00B01BCE" w:rsidP="00C529D6">
      <w:pPr>
        <w:jc w:val="both"/>
        <w:rPr>
          <w:rFonts w:eastAsia="Times New Roman" w:cs="Calibri"/>
        </w:rPr>
      </w:pPr>
      <w:r>
        <w:rPr>
          <w:rFonts w:eastAsia="Times New Roman" w:cs="Calibri"/>
        </w:rPr>
        <w:t>2. With a dropper bottle, d</w:t>
      </w:r>
      <w:r w:rsidRPr="006F4768">
        <w:rPr>
          <w:rFonts w:eastAsia="Times New Roman" w:cs="Calibri"/>
        </w:rPr>
        <w:t xml:space="preserve">eliver the herbicide dose to the center of the incision so that all of the herbicide is retained within the trough. This is accomplished by slowly and precisely squeezing the bottle to deliver one drop at a time. Be sure that the incision is deep enough to prevent the herbicide from overflowing at the seam.  Dropper </w:t>
      </w:r>
      <w:r>
        <w:rPr>
          <w:rFonts w:eastAsia="Times New Roman" w:cs="Calibri"/>
        </w:rPr>
        <w:t>c</w:t>
      </w:r>
      <w:r w:rsidRPr="006F4768">
        <w:rPr>
          <w:rFonts w:eastAsia="Times New Roman" w:cs="Calibri"/>
        </w:rPr>
        <w:t>alibrations have consistently measure</w:t>
      </w:r>
      <w:r>
        <w:rPr>
          <w:rFonts w:eastAsia="Times New Roman" w:cs="Calibri"/>
        </w:rPr>
        <w:t>d</w:t>
      </w:r>
      <w:r w:rsidRPr="006F4768">
        <w:rPr>
          <w:rFonts w:eastAsia="Times New Roman" w:cs="Calibri"/>
        </w:rPr>
        <w:t xml:space="preserve"> 11-12 drops per 0.5 ml, but may vary and should be tested.</w:t>
      </w:r>
    </w:p>
    <w:p w14:paraId="2ADCC867" w14:textId="77777777" w:rsidR="00B01BCE" w:rsidRPr="006F4768" w:rsidRDefault="00B01BCE" w:rsidP="00B01BCE">
      <w:pPr>
        <w:ind w:left="360"/>
        <w:jc w:val="both"/>
        <w:rPr>
          <w:rFonts w:eastAsia="Times New Roman" w:cs="Calibri"/>
        </w:rPr>
      </w:pPr>
    </w:p>
    <w:tbl>
      <w:tblPr>
        <w:tblStyle w:val="TableGrid"/>
        <w:tblW w:w="43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tblGrid>
      <w:tr w:rsidR="00B01BCE" w:rsidRPr="006F4768" w14:paraId="04CFD2B0" w14:textId="77777777" w:rsidTr="00C85884">
        <w:trPr>
          <w:trHeight w:val="2151"/>
        </w:trPr>
        <w:tc>
          <w:tcPr>
            <w:tcW w:w="4320" w:type="dxa"/>
          </w:tcPr>
          <w:p w14:paraId="7300E7F7" w14:textId="77777777" w:rsidR="00B01BCE" w:rsidRPr="006F4768" w:rsidRDefault="00B01BCE" w:rsidP="00615C1C">
            <w:pPr>
              <w:jc w:val="center"/>
              <w:rPr>
                <w:rFonts w:eastAsia="Times New Roman" w:cs="Calibri"/>
              </w:rPr>
            </w:pPr>
            <w:r w:rsidRPr="006F4768">
              <w:rPr>
                <w:rFonts w:eastAsia="Times New Roman" w:cs="Calibri"/>
                <w:noProof/>
              </w:rPr>
              <w:drawing>
                <wp:inline distT="0" distB="0" distL="0" distR="0" wp14:anchorId="7BAC192A" wp14:editId="40C97D3D">
                  <wp:extent cx="2560320" cy="1289747"/>
                  <wp:effectExtent l="19050" t="19050" r="11430" b="247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3205.JPG"/>
                          <pic:cNvPicPr/>
                        </pic:nvPicPr>
                        <pic:blipFill rotWithShape="1">
                          <a:blip r:embed="rId12" cstate="print">
                            <a:extLst>
                              <a:ext uri="{28A0092B-C50C-407E-A947-70E740481C1C}">
                                <a14:useLocalDpi xmlns:a14="http://schemas.microsoft.com/office/drawing/2010/main" val="0"/>
                              </a:ext>
                            </a:extLst>
                          </a:blip>
                          <a:srcRect t="15802" b="17032"/>
                          <a:stretch/>
                        </pic:blipFill>
                        <pic:spPr bwMode="auto">
                          <a:xfrm>
                            <a:off x="0" y="0"/>
                            <a:ext cx="2560320" cy="128974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B01BCE" w:rsidRPr="006F4768" w14:paraId="2A22687D" w14:textId="77777777" w:rsidTr="00C85884">
        <w:trPr>
          <w:trHeight w:val="2151"/>
        </w:trPr>
        <w:tc>
          <w:tcPr>
            <w:tcW w:w="4320" w:type="dxa"/>
          </w:tcPr>
          <w:p w14:paraId="33D26967" w14:textId="77777777" w:rsidR="00B01BCE" w:rsidRPr="006F4768" w:rsidRDefault="00B01BCE" w:rsidP="00615C1C">
            <w:pPr>
              <w:jc w:val="center"/>
              <w:rPr>
                <w:rFonts w:eastAsia="Times New Roman" w:cs="Calibri"/>
              </w:rPr>
            </w:pPr>
            <w:r w:rsidRPr="006F4768">
              <w:rPr>
                <w:rFonts w:eastAsia="Times New Roman" w:cs="Calibri"/>
                <w:noProof/>
              </w:rPr>
              <w:drawing>
                <wp:inline distT="0" distB="0" distL="0" distR="0" wp14:anchorId="1DD1A0E0" wp14:editId="4BEEDED5">
                  <wp:extent cx="2560320" cy="1270872"/>
                  <wp:effectExtent l="19050" t="19050" r="11430"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211.JPG"/>
                          <pic:cNvPicPr/>
                        </pic:nvPicPr>
                        <pic:blipFill rotWithShape="1">
                          <a:blip r:embed="rId13" cstate="print">
                            <a:extLst>
                              <a:ext uri="{28A0092B-C50C-407E-A947-70E740481C1C}">
                                <a14:useLocalDpi xmlns:a14="http://schemas.microsoft.com/office/drawing/2010/main" val="0"/>
                              </a:ext>
                            </a:extLst>
                          </a:blip>
                          <a:srcRect t="24694" b="9123"/>
                          <a:stretch/>
                        </pic:blipFill>
                        <pic:spPr bwMode="auto">
                          <a:xfrm>
                            <a:off x="0" y="0"/>
                            <a:ext cx="2560320" cy="12708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00109D" w:rsidRPr="006F4768" w14:paraId="6781F324" w14:textId="77777777" w:rsidTr="00C85884">
        <w:trPr>
          <w:trHeight w:val="2223"/>
        </w:trPr>
        <w:tc>
          <w:tcPr>
            <w:tcW w:w="4320" w:type="dxa"/>
          </w:tcPr>
          <w:p w14:paraId="5CA2AADE" w14:textId="5B394E4C" w:rsidR="0000109D" w:rsidRPr="006F4768" w:rsidRDefault="00954C57" w:rsidP="00615C1C">
            <w:pPr>
              <w:jc w:val="center"/>
              <w:rPr>
                <w:rFonts w:eastAsia="Times New Roman" w:cs="Calibri"/>
                <w:noProof/>
              </w:rPr>
            </w:pPr>
            <w:r>
              <w:rPr>
                <w:rFonts w:eastAsia="Times New Roman" w:cs="Calibri"/>
                <w:noProof/>
              </w:rPr>
              <w:drawing>
                <wp:inline distT="0" distB="0" distL="0" distR="0" wp14:anchorId="407D9519" wp14:editId="1F856DB7">
                  <wp:extent cx="2560320" cy="1280161"/>
                  <wp:effectExtent l="19050" t="19050" r="11430" b="152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erbicide notches in Falcataria moluccana.jpg"/>
                          <pic:cNvPicPr/>
                        </pic:nvPicPr>
                        <pic:blipFill rotWithShape="1">
                          <a:blip r:embed="rId14">
                            <a:extLst>
                              <a:ext uri="{28A0092B-C50C-407E-A947-70E740481C1C}">
                                <a14:useLocalDpi xmlns:a14="http://schemas.microsoft.com/office/drawing/2010/main" val="0"/>
                              </a:ext>
                            </a:extLst>
                          </a:blip>
                          <a:srcRect l="9438" t="26284" r="11019" b="14060"/>
                          <a:stretch/>
                        </pic:blipFill>
                        <pic:spPr bwMode="auto">
                          <a:xfrm>
                            <a:off x="0" y="0"/>
                            <a:ext cx="2560320" cy="12801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01BCE" w:rsidRPr="006F4768" w14:paraId="3853FF1D" w14:textId="77777777" w:rsidTr="00C85884">
        <w:trPr>
          <w:trHeight w:val="201"/>
        </w:trPr>
        <w:tc>
          <w:tcPr>
            <w:tcW w:w="4320" w:type="dxa"/>
          </w:tcPr>
          <w:p w14:paraId="050F559C" w14:textId="56341FFE" w:rsidR="00B01BCE" w:rsidRPr="00B01BCE" w:rsidRDefault="00B01BCE" w:rsidP="005B6E76">
            <w:pPr>
              <w:jc w:val="both"/>
              <w:rPr>
                <w:rFonts w:eastAsia="Times New Roman" w:cs="Calibri"/>
                <w:i/>
              </w:rPr>
            </w:pPr>
            <w:r w:rsidRPr="00A654DC">
              <w:rPr>
                <w:rFonts w:eastAsia="Times New Roman" w:cs="Calibri"/>
                <w:i/>
              </w:rPr>
              <w:t xml:space="preserve">Steps </w:t>
            </w:r>
            <w:r w:rsidR="005B6E76">
              <w:rPr>
                <w:rFonts w:eastAsia="Times New Roman" w:cs="Calibri"/>
                <w:i/>
              </w:rPr>
              <w:t>to</w:t>
            </w:r>
            <w:r w:rsidRPr="00A654DC">
              <w:rPr>
                <w:rFonts w:eastAsia="Times New Roman" w:cs="Calibri"/>
                <w:i/>
              </w:rPr>
              <w:t xml:space="preserve"> a proper injection: (</w:t>
            </w:r>
            <w:proofErr w:type="spellStart"/>
            <w:r w:rsidRPr="00A654DC">
              <w:rPr>
                <w:rFonts w:eastAsia="Times New Roman" w:cs="Calibri"/>
                <w:i/>
              </w:rPr>
              <w:t>i</w:t>
            </w:r>
            <w:proofErr w:type="spellEnd"/>
            <w:r w:rsidRPr="00A654DC">
              <w:rPr>
                <w:rFonts w:eastAsia="Times New Roman" w:cs="Calibri"/>
                <w:i/>
              </w:rPr>
              <w:t>) incision using a hatchet on an angle to create a clean, intact trough; (ii) herbicide drops retained and absorbed into the vascular system of the target tree</w:t>
            </w:r>
            <w:r w:rsidR="00954C57" w:rsidRPr="00A654DC">
              <w:rPr>
                <w:rFonts w:eastAsia="Times New Roman" w:cs="Calibri"/>
                <w:i/>
              </w:rPr>
              <w:t xml:space="preserve">; (iii) large size tree </w:t>
            </w:r>
            <w:r w:rsidR="00C85884" w:rsidRPr="00A654DC">
              <w:rPr>
                <w:rFonts w:eastAsia="Times New Roman" w:cs="Calibri"/>
                <w:i/>
              </w:rPr>
              <w:t>with close injection spacing.</w:t>
            </w:r>
          </w:p>
        </w:tc>
      </w:tr>
    </w:tbl>
    <w:p w14:paraId="1E788C19" w14:textId="1F1DF257" w:rsidR="00A829C2" w:rsidRDefault="00A829C2" w:rsidP="00A829C2">
      <w:pPr>
        <w:jc w:val="both"/>
        <w:rPr>
          <w:rFonts w:eastAsia="Times New Roman" w:cs="Calibri"/>
          <w:b/>
        </w:rPr>
      </w:pPr>
    </w:p>
    <w:p w14:paraId="6B8B36E2" w14:textId="5CBD81DB" w:rsidR="00A829C2" w:rsidRPr="006F4768" w:rsidRDefault="00A829C2" w:rsidP="00A829C2">
      <w:pPr>
        <w:jc w:val="both"/>
        <w:rPr>
          <w:rFonts w:eastAsia="Times New Roman" w:cs="Calibri"/>
          <w:b/>
        </w:rPr>
      </w:pPr>
      <w:r w:rsidRPr="006F4768">
        <w:rPr>
          <w:rFonts w:eastAsia="Times New Roman" w:cs="Calibri"/>
          <w:b/>
        </w:rPr>
        <w:t>Equipment and Resources</w:t>
      </w:r>
      <w:r w:rsidR="00A4189A">
        <w:rPr>
          <w:rFonts w:eastAsia="Times New Roman" w:cs="Calibri"/>
          <w:b/>
        </w:rPr>
        <w:t>:</w:t>
      </w:r>
      <w:r w:rsidRPr="006F4768">
        <w:rPr>
          <w:rFonts w:eastAsia="Times New Roman" w:cs="Calibri"/>
          <w:b/>
        </w:rPr>
        <w:tab/>
      </w:r>
    </w:p>
    <w:p w14:paraId="56C55C4F" w14:textId="77777777" w:rsidR="00A829C2" w:rsidRPr="006F4768" w:rsidRDefault="00A829C2" w:rsidP="00A829C2">
      <w:pPr>
        <w:pStyle w:val="ListParagraph"/>
        <w:numPr>
          <w:ilvl w:val="0"/>
          <w:numId w:val="2"/>
        </w:numPr>
        <w:jc w:val="both"/>
        <w:rPr>
          <w:rFonts w:eastAsia="Times New Roman" w:cs="Calibri"/>
        </w:rPr>
      </w:pPr>
      <w:r w:rsidRPr="006F4768">
        <w:rPr>
          <w:rFonts w:eastAsia="Times New Roman" w:cs="Calibri"/>
        </w:rPr>
        <w:t>Hatchet/machete</w:t>
      </w:r>
    </w:p>
    <w:p w14:paraId="6C73253A" w14:textId="4776CA41" w:rsidR="00A829C2" w:rsidRPr="006F4768" w:rsidRDefault="00A829C2" w:rsidP="00A829C2">
      <w:pPr>
        <w:pStyle w:val="ListParagraph"/>
        <w:numPr>
          <w:ilvl w:val="0"/>
          <w:numId w:val="2"/>
        </w:numPr>
        <w:jc w:val="both"/>
        <w:rPr>
          <w:rFonts w:eastAsia="Times New Roman" w:cs="Calibri"/>
        </w:rPr>
      </w:pPr>
      <w:r>
        <w:rPr>
          <w:rFonts w:eastAsia="Times New Roman" w:cs="Calibri"/>
        </w:rPr>
        <w:t>Drop Dispenser Bottles (1-8</w:t>
      </w:r>
      <w:r w:rsidRPr="006F4768">
        <w:rPr>
          <w:rFonts w:eastAsia="Times New Roman" w:cs="Calibri"/>
        </w:rPr>
        <w:t xml:space="preserve"> fl</w:t>
      </w:r>
      <w:r w:rsidR="00C529D6">
        <w:rPr>
          <w:rFonts w:eastAsia="Times New Roman" w:cs="Calibri"/>
        </w:rPr>
        <w:t>.</w:t>
      </w:r>
      <w:r w:rsidRPr="006F4768">
        <w:rPr>
          <w:rFonts w:eastAsia="Times New Roman" w:cs="Calibri"/>
        </w:rPr>
        <w:t xml:space="preserve"> </w:t>
      </w:r>
      <w:r w:rsidR="005B6E76">
        <w:rPr>
          <w:rFonts w:eastAsia="Times New Roman" w:cs="Calibri"/>
        </w:rPr>
        <w:t>o</w:t>
      </w:r>
      <w:r w:rsidRPr="006F4768">
        <w:rPr>
          <w:rFonts w:eastAsia="Times New Roman" w:cs="Calibri"/>
        </w:rPr>
        <w:t>z</w:t>
      </w:r>
      <w:r w:rsidR="00C529D6">
        <w:rPr>
          <w:rFonts w:eastAsia="Times New Roman" w:cs="Calibri"/>
        </w:rPr>
        <w:t>.</w:t>
      </w:r>
      <w:r w:rsidRPr="006F4768">
        <w:rPr>
          <w:rFonts w:eastAsia="Times New Roman" w:cs="Calibri"/>
        </w:rPr>
        <w:t>)</w:t>
      </w:r>
    </w:p>
    <w:p w14:paraId="18681CCE" w14:textId="77777777" w:rsidR="00A829C2" w:rsidRPr="006F4768" w:rsidRDefault="00A829C2" w:rsidP="00A829C2">
      <w:pPr>
        <w:pStyle w:val="ListParagraph"/>
        <w:numPr>
          <w:ilvl w:val="0"/>
          <w:numId w:val="2"/>
        </w:numPr>
        <w:jc w:val="both"/>
        <w:rPr>
          <w:rFonts w:eastAsia="Times New Roman" w:cs="Calibri"/>
        </w:rPr>
      </w:pPr>
      <w:r w:rsidRPr="006F4768">
        <w:rPr>
          <w:rFonts w:eastAsia="Times New Roman" w:cs="Calibri"/>
        </w:rPr>
        <w:t xml:space="preserve">Herbicide formulation </w:t>
      </w:r>
    </w:p>
    <w:p w14:paraId="6D25D2B1" w14:textId="77777777" w:rsidR="00A829C2" w:rsidRDefault="00A829C2" w:rsidP="00A829C2">
      <w:pPr>
        <w:pStyle w:val="ListParagraph"/>
        <w:numPr>
          <w:ilvl w:val="0"/>
          <w:numId w:val="2"/>
        </w:numPr>
        <w:jc w:val="both"/>
        <w:rPr>
          <w:rFonts w:eastAsia="Times New Roman" w:cs="Calibri"/>
        </w:rPr>
      </w:pPr>
      <w:r w:rsidRPr="006F4768">
        <w:rPr>
          <w:rFonts w:eastAsia="Times New Roman" w:cs="Calibri"/>
        </w:rPr>
        <w:t xml:space="preserve">Tape measure </w:t>
      </w:r>
    </w:p>
    <w:p w14:paraId="19F2305E" w14:textId="368AB168" w:rsidR="00A829C2" w:rsidRPr="006F4768" w:rsidRDefault="00A829C2" w:rsidP="00A829C2">
      <w:pPr>
        <w:pStyle w:val="ListParagraph"/>
        <w:numPr>
          <w:ilvl w:val="0"/>
          <w:numId w:val="2"/>
        </w:numPr>
        <w:jc w:val="both"/>
        <w:rPr>
          <w:rFonts w:eastAsia="Times New Roman" w:cs="Calibri"/>
        </w:rPr>
      </w:pPr>
      <w:r>
        <w:rPr>
          <w:rFonts w:eastAsia="Times New Roman" w:cs="Calibri"/>
        </w:rPr>
        <w:t>GPS</w:t>
      </w:r>
    </w:p>
    <w:p w14:paraId="5F10B18E" w14:textId="77777777" w:rsidR="00A829C2" w:rsidRPr="006F4768" w:rsidRDefault="00A829C2" w:rsidP="00A829C2">
      <w:pPr>
        <w:pStyle w:val="ListParagraph"/>
        <w:numPr>
          <w:ilvl w:val="0"/>
          <w:numId w:val="2"/>
        </w:numPr>
        <w:jc w:val="both"/>
        <w:rPr>
          <w:rFonts w:eastAsia="Times New Roman" w:cs="Calibri"/>
        </w:rPr>
      </w:pPr>
      <w:r w:rsidRPr="006F4768">
        <w:rPr>
          <w:rFonts w:eastAsia="Times New Roman" w:cs="Calibri"/>
        </w:rPr>
        <w:t>PPE: safety goggles and nitrile gloves</w:t>
      </w:r>
    </w:p>
    <w:p w14:paraId="42358C4D" w14:textId="77777777" w:rsidR="00A654DC" w:rsidRDefault="00A654DC" w:rsidP="00E72970">
      <w:pPr>
        <w:jc w:val="both"/>
        <w:rPr>
          <w:rFonts w:eastAsia="Times New Roman" w:cs="Calibri"/>
        </w:rPr>
      </w:pPr>
    </w:p>
    <w:p w14:paraId="675A1652" w14:textId="238D3BDE" w:rsidR="00B01BCE" w:rsidRPr="00A829C2" w:rsidRDefault="00A829C2" w:rsidP="00E72970">
      <w:pPr>
        <w:jc w:val="both"/>
        <w:rPr>
          <w:b/>
        </w:rPr>
      </w:pPr>
      <w:r w:rsidRPr="00A829C2">
        <w:rPr>
          <w:b/>
        </w:rPr>
        <w:t>Management Plan</w:t>
      </w:r>
      <w:r w:rsidR="00A4189A">
        <w:rPr>
          <w:b/>
        </w:rPr>
        <w:t>:</w:t>
      </w:r>
    </w:p>
    <w:p w14:paraId="6BA45C8F" w14:textId="2241A75D" w:rsidR="00A829C2" w:rsidRDefault="00A829C2" w:rsidP="00A829C2">
      <w:pPr>
        <w:jc w:val="both"/>
      </w:pPr>
      <w:r>
        <w:t xml:space="preserve">1. </w:t>
      </w:r>
      <w:r w:rsidR="00C54388">
        <w:t xml:space="preserve"> This </w:t>
      </w:r>
      <w:r w:rsidR="0061047A">
        <w:t>method is only for use on trees that can be treated without risk to buildings and infrastructure.</w:t>
      </w:r>
    </w:p>
    <w:p w14:paraId="73A17FF2" w14:textId="40FECA95" w:rsidR="00A829C2" w:rsidRDefault="00A829C2" w:rsidP="00A829C2">
      <w:pPr>
        <w:jc w:val="both"/>
      </w:pPr>
      <w:r>
        <w:t>2. Do not exceed the maximum allowable amount of 7 fl.</w:t>
      </w:r>
      <w:r w:rsidR="00C529D6">
        <w:t xml:space="preserve"> </w:t>
      </w:r>
      <w:r>
        <w:t>oz. per acre</w:t>
      </w:r>
      <w:r w:rsidR="005B6E76">
        <w:t>, which is equal to</w:t>
      </w:r>
      <w:r>
        <w:t xml:space="preserve"> 414 injections (0.5 ml each).  Medium size trees ar</w:t>
      </w:r>
      <w:r w:rsidR="005B6E76">
        <w:t xml:space="preserve">e </w:t>
      </w:r>
      <w:r w:rsidR="00C12E71">
        <w:t>treated with</w:t>
      </w:r>
      <w:r w:rsidR="005B6E76">
        <w:t xml:space="preserve"> 2</w:t>
      </w:r>
      <w:r w:rsidR="00C12E71">
        <w:t>-3</w:t>
      </w:r>
      <w:r w:rsidR="005B6E76">
        <w:t xml:space="preserve"> ml total, which is </w:t>
      </w:r>
      <w:r w:rsidR="00C12E71">
        <w:t>enough for up to 2</w:t>
      </w:r>
      <w:r>
        <w:t>00 trees per acre</w:t>
      </w:r>
      <w:r w:rsidR="00C54388">
        <w:t xml:space="preserve"> (~50 large trees)</w:t>
      </w:r>
      <w:r>
        <w:t>.</w:t>
      </w:r>
    </w:p>
    <w:p w14:paraId="6BC80E55" w14:textId="691B5A37" w:rsidR="00A829C2" w:rsidRPr="007A6154" w:rsidRDefault="00A829C2" w:rsidP="00A829C2">
      <w:pPr>
        <w:jc w:val="both"/>
        <w:rPr>
          <w:rFonts w:asciiTheme="minorHAnsi" w:hAnsiTheme="minorHAnsi"/>
        </w:rPr>
      </w:pPr>
      <w:r>
        <w:t xml:space="preserve">3. </w:t>
      </w:r>
      <w:r w:rsidR="001E62E9">
        <w:t xml:space="preserve">Do not treat large </w:t>
      </w:r>
      <w:r w:rsidR="00C17EE8">
        <w:t>trees</w:t>
      </w:r>
      <w:r w:rsidR="001E62E9">
        <w:t xml:space="preserve"> that may </w:t>
      </w:r>
      <w:r w:rsidR="00C17EE8">
        <w:t>damage</w:t>
      </w:r>
      <w:r w:rsidR="001E62E9">
        <w:t xml:space="preserve"> infrastructure</w:t>
      </w:r>
      <w:r w:rsidR="00C12E71">
        <w:t xml:space="preserve"> and </w:t>
      </w:r>
      <w:r w:rsidR="00C17EE8">
        <w:t xml:space="preserve">block </w:t>
      </w:r>
      <w:r w:rsidR="00C12E71">
        <w:t>right-of-ways</w:t>
      </w:r>
      <w:r w:rsidR="001E62E9">
        <w:t>.</w:t>
      </w:r>
      <w:r w:rsidR="0000109D">
        <w:t xml:space="preserve"> Estimate </w:t>
      </w:r>
      <w:r w:rsidR="0000109D" w:rsidRPr="007A6154">
        <w:rPr>
          <w:rFonts w:asciiTheme="minorHAnsi" w:hAnsiTheme="minorHAnsi"/>
        </w:rPr>
        <w:t xml:space="preserve">impact zone to be </w:t>
      </w:r>
      <w:r w:rsidR="007A6154">
        <w:rPr>
          <w:rFonts w:asciiTheme="minorHAnsi" w:hAnsiTheme="minorHAnsi"/>
        </w:rPr>
        <w:t>greater</w:t>
      </w:r>
      <w:r w:rsidR="00C17EE8" w:rsidRPr="007A6154">
        <w:rPr>
          <w:rFonts w:asciiTheme="minorHAnsi" w:hAnsiTheme="minorHAnsi"/>
        </w:rPr>
        <w:t xml:space="preserve"> than</w:t>
      </w:r>
      <w:r w:rsidR="0000109D" w:rsidRPr="007A6154">
        <w:rPr>
          <w:rFonts w:asciiTheme="minorHAnsi" w:hAnsiTheme="minorHAnsi"/>
        </w:rPr>
        <w:t xml:space="preserve"> the height of the tree</w:t>
      </w:r>
      <w:r w:rsidR="00D01C6E">
        <w:rPr>
          <w:rFonts w:asciiTheme="minorHAnsi" w:hAnsiTheme="minorHAnsi"/>
        </w:rPr>
        <w:t xml:space="preserve"> (see</w:t>
      </w:r>
      <w:r w:rsidR="00121EC6">
        <w:rPr>
          <w:rFonts w:asciiTheme="minorHAnsi" w:hAnsiTheme="minorHAnsi"/>
        </w:rPr>
        <w:t xml:space="preserve"> </w:t>
      </w:r>
      <w:r w:rsidR="00D01C6E" w:rsidRPr="00121EC6">
        <w:rPr>
          <w:rFonts w:asciiTheme="minorHAnsi" w:hAnsiTheme="minorHAnsi"/>
          <w:i/>
        </w:rPr>
        <w:t>guides for measuring tree height</w:t>
      </w:r>
      <w:r w:rsidR="00D01C6E">
        <w:rPr>
          <w:rFonts w:asciiTheme="minorHAnsi" w:hAnsiTheme="minorHAnsi"/>
        </w:rPr>
        <w:t>)</w:t>
      </w:r>
      <w:r w:rsidR="0000109D" w:rsidRPr="007A6154">
        <w:rPr>
          <w:rFonts w:asciiTheme="minorHAnsi" w:hAnsiTheme="minorHAnsi"/>
        </w:rPr>
        <w:t xml:space="preserve">. </w:t>
      </w:r>
    </w:p>
    <w:p w14:paraId="4685F040" w14:textId="7ECEB43A" w:rsidR="00C17EE8" w:rsidRPr="007A6154" w:rsidRDefault="00C17EE8" w:rsidP="00A829C2">
      <w:pPr>
        <w:jc w:val="both"/>
        <w:rPr>
          <w:rFonts w:asciiTheme="minorHAnsi" w:hAnsiTheme="minorHAnsi"/>
        </w:rPr>
      </w:pPr>
      <w:r w:rsidRPr="007A6154">
        <w:rPr>
          <w:rFonts w:asciiTheme="minorHAnsi" w:hAnsiTheme="minorHAnsi"/>
        </w:rPr>
        <w:t xml:space="preserve">4. </w:t>
      </w:r>
      <w:r w:rsidRPr="007A6154">
        <w:rPr>
          <w:rFonts w:asciiTheme="minorHAnsi" w:hAnsiTheme="minorHAnsi" w:cs="Arial"/>
          <w:color w:val="000000"/>
          <w:shd w:val="clear" w:color="auto" w:fill="FFFFFF"/>
        </w:rPr>
        <w:t xml:space="preserve">Dead </w:t>
      </w:r>
      <w:r w:rsidR="002D002E">
        <w:rPr>
          <w:rFonts w:asciiTheme="minorHAnsi" w:hAnsiTheme="minorHAnsi" w:cs="Arial"/>
          <w:color w:val="000000"/>
          <w:shd w:val="clear" w:color="auto" w:fill="FFFFFF"/>
        </w:rPr>
        <w:t xml:space="preserve">standing </w:t>
      </w:r>
      <w:r w:rsidRPr="007A6154">
        <w:rPr>
          <w:rFonts w:asciiTheme="minorHAnsi" w:hAnsiTheme="minorHAnsi" w:cs="Arial"/>
          <w:color w:val="000000"/>
          <w:shd w:val="clear" w:color="auto" w:fill="FFFFFF"/>
        </w:rPr>
        <w:t>trees are brittle and dangerous to cut: if you plan to cut the trees down, do not use this technique.</w:t>
      </w:r>
    </w:p>
    <w:p w14:paraId="728158B5" w14:textId="39343127" w:rsidR="00A654DC" w:rsidRDefault="00C17EE8" w:rsidP="00A829C2">
      <w:pPr>
        <w:jc w:val="both"/>
      </w:pPr>
      <w:r w:rsidRPr="007A6154">
        <w:rPr>
          <w:rFonts w:asciiTheme="minorHAnsi" w:hAnsiTheme="minorHAnsi"/>
        </w:rPr>
        <w:t>5</w:t>
      </w:r>
      <w:r w:rsidR="00A654DC" w:rsidRPr="007A6154">
        <w:rPr>
          <w:rFonts w:asciiTheme="minorHAnsi" w:hAnsiTheme="minorHAnsi"/>
        </w:rPr>
        <w:t>. Consult with</w:t>
      </w:r>
      <w:r w:rsidR="00A654DC">
        <w:t xml:space="preserve"> a certified arborist for proper removal of</w:t>
      </w:r>
      <w:r>
        <w:t xml:space="preserve"> large trees.</w:t>
      </w:r>
    </w:p>
    <w:p w14:paraId="56431D4A" w14:textId="6A2844CA" w:rsidR="00A654DC" w:rsidRDefault="00A654DC" w:rsidP="00A829C2">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0"/>
      </w:tblGrid>
      <w:tr w:rsidR="00AD632C" w14:paraId="7344FB77" w14:textId="77777777" w:rsidTr="00615C1C">
        <w:tc>
          <w:tcPr>
            <w:tcW w:w="4310" w:type="dxa"/>
          </w:tcPr>
          <w:p w14:paraId="3C06FDD7" w14:textId="77777777" w:rsidR="00AD632C" w:rsidRDefault="00AD632C" w:rsidP="00615C1C">
            <w:pPr>
              <w:jc w:val="both"/>
            </w:pPr>
            <w:r w:rsidRPr="00C85884">
              <w:rPr>
                <w:noProof/>
              </w:rPr>
              <w:drawing>
                <wp:inline distT="0" distB="0" distL="0" distR="0" wp14:anchorId="3F22439E" wp14:editId="2088D9BE">
                  <wp:extent cx="2560320" cy="1458686"/>
                  <wp:effectExtent l="19050" t="19050" r="11430" b="2730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5" cstate="print">
                            <a:extLst>
                              <a:ext uri="{BEBA8EAE-BF5A-486C-A8C5-ECC9F3942E4B}">
                                <a14:imgProps xmlns:a14="http://schemas.microsoft.com/office/drawing/2010/main">
                                  <a14:imgLayer r:embed="rId16">
                                    <a14:imgEffect>
                                      <a14:sharpenSoften amount="25000"/>
                                    </a14:imgEffect>
                                    <a14:imgEffect>
                                      <a14:brightnessContrast bright="40000"/>
                                    </a14:imgEffect>
                                  </a14:imgLayer>
                                </a14:imgProps>
                              </a:ext>
                              <a:ext uri="{28A0092B-C50C-407E-A947-70E740481C1C}">
                                <a14:useLocalDpi xmlns:a14="http://schemas.microsoft.com/office/drawing/2010/main" val="0"/>
                              </a:ext>
                            </a:extLst>
                          </a:blip>
                          <a:srcRect t="7370" b="16666"/>
                          <a:stretch/>
                        </pic:blipFill>
                        <pic:spPr bwMode="auto">
                          <a:xfrm>
                            <a:off x="0" y="0"/>
                            <a:ext cx="2560320" cy="145868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D632C" w14:paraId="3CBD2431" w14:textId="77777777" w:rsidTr="00615C1C">
        <w:tc>
          <w:tcPr>
            <w:tcW w:w="4310" w:type="dxa"/>
          </w:tcPr>
          <w:p w14:paraId="387006AE" w14:textId="20972DDE" w:rsidR="00AD632C" w:rsidRPr="00C17EE8" w:rsidRDefault="00AD632C" w:rsidP="002D002E">
            <w:pPr>
              <w:jc w:val="both"/>
              <w:rPr>
                <w:i/>
              </w:rPr>
            </w:pPr>
            <w:r w:rsidRPr="00C17EE8">
              <w:rPr>
                <w:i/>
              </w:rPr>
              <w:t xml:space="preserve">CAUTION! Dead standing trees are hazardous to </w:t>
            </w:r>
            <w:r w:rsidR="002D002E">
              <w:rPr>
                <w:i/>
              </w:rPr>
              <w:t>property</w:t>
            </w:r>
            <w:r w:rsidRPr="00C17EE8">
              <w:rPr>
                <w:i/>
              </w:rPr>
              <w:t xml:space="preserve"> and </w:t>
            </w:r>
            <w:r w:rsidR="002D002E">
              <w:rPr>
                <w:i/>
              </w:rPr>
              <w:t xml:space="preserve">personal </w:t>
            </w:r>
            <w:r w:rsidRPr="00C17EE8">
              <w:rPr>
                <w:i/>
              </w:rPr>
              <w:t>safety!</w:t>
            </w:r>
          </w:p>
        </w:tc>
      </w:tr>
    </w:tbl>
    <w:p w14:paraId="1379A04A" w14:textId="77777777" w:rsidR="00AD632C" w:rsidRDefault="00AD632C" w:rsidP="00A829C2">
      <w:pPr>
        <w:jc w:val="both"/>
      </w:pPr>
    </w:p>
    <w:p w14:paraId="57CA143E" w14:textId="047C6078" w:rsidR="00A4189A" w:rsidRPr="00A4189A" w:rsidRDefault="00A4189A" w:rsidP="00A829C2">
      <w:pPr>
        <w:jc w:val="both"/>
        <w:rPr>
          <w:b/>
        </w:rPr>
      </w:pPr>
      <w:r w:rsidRPr="00A4189A">
        <w:rPr>
          <w:b/>
        </w:rPr>
        <w:t xml:space="preserve">Expected </w:t>
      </w:r>
      <w:r>
        <w:rPr>
          <w:b/>
        </w:rPr>
        <w:t>R</w:t>
      </w:r>
      <w:r w:rsidRPr="00A4189A">
        <w:rPr>
          <w:b/>
        </w:rPr>
        <w:t>esults:</w:t>
      </w:r>
    </w:p>
    <w:p w14:paraId="38E13012" w14:textId="467AD646" w:rsidR="00A4189A" w:rsidRPr="006F4768" w:rsidRDefault="00C12E71" w:rsidP="00AD632C">
      <w:pPr>
        <w:jc w:val="both"/>
      </w:pPr>
      <w:r>
        <w:t xml:space="preserve">Warning!  </w:t>
      </w:r>
      <w:r w:rsidR="005B6E76">
        <w:t xml:space="preserve">This technique </w:t>
      </w:r>
      <w:r>
        <w:t>leaves</w:t>
      </w:r>
      <w:r w:rsidR="005B6E76">
        <w:t xml:space="preserve"> dead trees in place.  </w:t>
      </w:r>
      <w:r w:rsidR="00A4189A">
        <w:t>Complete canopy defoliation can be expected with</w:t>
      </w:r>
      <w:r w:rsidR="005B6E76">
        <w:t>in</w:t>
      </w:r>
      <w:r w:rsidR="00C17EE8">
        <w:t xml:space="preserve"> 4-6 weeks</w:t>
      </w:r>
      <w:r w:rsidR="00A4189A">
        <w:t xml:space="preserve">.  </w:t>
      </w:r>
      <w:r>
        <w:t>C</w:t>
      </w:r>
      <w:r w:rsidR="00A4189A">
        <w:t xml:space="preserve">anopy </w:t>
      </w:r>
      <w:r>
        <w:t>collapse</w:t>
      </w:r>
      <w:r w:rsidR="00A654DC">
        <w:t xml:space="preserve"> can be expected</w:t>
      </w:r>
      <w:r w:rsidR="001A3C38">
        <w:t xml:space="preserve"> within </w:t>
      </w:r>
      <w:r>
        <w:t>2 years</w:t>
      </w:r>
      <w:r w:rsidR="001A3C38">
        <w:t xml:space="preserve"> and may continue </w:t>
      </w:r>
      <w:r w:rsidR="00C17EE8">
        <w:t>decomposing</w:t>
      </w:r>
      <w:r w:rsidR="00A654DC">
        <w:t xml:space="preserve"> for </w:t>
      </w:r>
      <w:r w:rsidR="00C17EE8">
        <w:t>a decade or longer</w:t>
      </w:r>
      <w:r w:rsidR="00A654DC">
        <w:t>.</w:t>
      </w:r>
      <w:r w:rsidR="005B6E76">
        <w:t xml:space="preserve"> Retreatment </w:t>
      </w:r>
      <w:r>
        <w:t>of large trees may be necessary if new leaf canopy is observed 12 months after first treatment.</w:t>
      </w:r>
    </w:p>
    <w:sectPr w:rsidR="00A4189A" w:rsidRPr="006F4768" w:rsidSect="00685B5E">
      <w:pgSz w:w="15840" w:h="12240" w:orient="landscape"/>
      <w:pgMar w:top="720" w:right="720" w:bottom="720" w:left="720" w:header="720" w:footer="720" w:gutter="0"/>
      <w:cols w:num="3"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Neue">
    <w:altName w:val="Helvetica Neue"/>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5A54026"/>
    <w:multiLevelType w:val="hybridMultilevel"/>
    <w:tmpl w:val="80DE28D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3C764309"/>
    <w:multiLevelType w:val="hybridMultilevel"/>
    <w:tmpl w:val="C6D6A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29527D3"/>
    <w:multiLevelType w:val="hybridMultilevel"/>
    <w:tmpl w:val="ACFA85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2961"/>
    <w:rsid w:val="0000109D"/>
    <w:rsid w:val="00035558"/>
    <w:rsid w:val="000C6252"/>
    <w:rsid w:val="000E0C61"/>
    <w:rsid w:val="00121EC6"/>
    <w:rsid w:val="001639F6"/>
    <w:rsid w:val="00182819"/>
    <w:rsid w:val="001A3C38"/>
    <w:rsid w:val="001E62E9"/>
    <w:rsid w:val="002D002E"/>
    <w:rsid w:val="00311D7A"/>
    <w:rsid w:val="00344EF5"/>
    <w:rsid w:val="00384B7A"/>
    <w:rsid w:val="003B0581"/>
    <w:rsid w:val="00482961"/>
    <w:rsid w:val="004E7C2C"/>
    <w:rsid w:val="00522017"/>
    <w:rsid w:val="005369BB"/>
    <w:rsid w:val="005B6E76"/>
    <w:rsid w:val="0061047A"/>
    <w:rsid w:val="00611D55"/>
    <w:rsid w:val="00685B5E"/>
    <w:rsid w:val="00695580"/>
    <w:rsid w:val="006F4768"/>
    <w:rsid w:val="007A6154"/>
    <w:rsid w:val="008F2394"/>
    <w:rsid w:val="00906BD7"/>
    <w:rsid w:val="0094003D"/>
    <w:rsid w:val="00954C57"/>
    <w:rsid w:val="009563B4"/>
    <w:rsid w:val="009F0D8B"/>
    <w:rsid w:val="00A4189A"/>
    <w:rsid w:val="00A5206B"/>
    <w:rsid w:val="00A654DC"/>
    <w:rsid w:val="00A829C2"/>
    <w:rsid w:val="00AC5150"/>
    <w:rsid w:val="00AD632C"/>
    <w:rsid w:val="00B01BCE"/>
    <w:rsid w:val="00B42E77"/>
    <w:rsid w:val="00BA1A25"/>
    <w:rsid w:val="00BD4540"/>
    <w:rsid w:val="00BD771A"/>
    <w:rsid w:val="00BE64FD"/>
    <w:rsid w:val="00C12E71"/>
    <w:rsid w:val="00C17EE8"/>
    <w:rsid w:val="00C356D5"/>
    <w:rsid w:val="00C529D6"/>
    <w:rsid w:val="00C54388"/>
    <w:rsid w:val="00C57D10"/>
    <w:rsid w:val="00C85884"/>
    <w:rsid w:val="00D01C6E"/>
    <w:rsid w:val="00D16C81"/>
    <w:rsid w:val="00DC064D"/>
    <w:rsid w:val="00E3698A"/>
    <w:rsid w:val="00E66E13"/>
    <w:rsid w:val="00E72970"/>
    <w:rsid w:val="00E911C4"/>
    <w:rsid w:val="00EE376A"/>
    <w:rsid w:val="00F60B61"/>
    <w:rsid w:val="00F8796E"/>
    <w:rsid w:val="00FF09E0"/>
    <w:rsid w:val="00FF4533"/>
    <w:rsid w:val="00FF624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A9712F8"/>
  <w15:docId w15:val="{9148B8E4-4B87-48AA-9918-E7FFF78587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82961"/>
    <w:pPr>
      <w:spacing w:after="0" w:line="240" w:lineRule="auto"/>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84B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85B5E"/>
    <w:pPr>
      <w:ind w:left="720"/>
      <w:contextualSpacing/>
    </w:pPr>
  </w:style>
  <w:style w:type="paragraph" w:styleId="BalloonText">
    <w:name w:val="Balloon Text"/>
    <w:basedOn w:val="Normal"/>
    <w:link w:val="BalloonTextChar"/>
    <w:uiPriority w:val="99"/>
    <w:semiHidden/>
    <w:unhideWhenUsed/>
    <w:rsid w:val="00695580"/>
    <w:rPr>
      <w:rFonts w:ascii="Tahoma" w:hAnsi="Tahoma" w:cs="Tahoma"/>
      <w:sz w:val="16"/>
      <w:szCs w:val="16"/>
    </w:rPr>
  </w:style>
  <w:style w:type="character" w:customStyle="1" w:styleId="BalloonTextChar">
    <w:name w:val="Balloon Text Char"/>
    <w:basedOn w:val="DefaultParagraphFont"/>
    <w:link w:val="BalloonText"/>
    <w:uiPriority w:val="99"/>
    <w:semiHidden/>
    <w:rsid w:val="00695580"/>
    <w:rPr>
      <w:rFonts w:ascii="Tahoma" w:eastAsia="Calibri" w:hAnsi="Tahoma" w:cs="Tahoma"/>
      <w:sz w:val="16"/>
      <w:szCs w:val="16"/>
    </w:rPr>
  </w:style>
  <w:style w:type="character" w:styleId="Hyperlink">
    <w:name w:val="Hyperlink"/>
    <w:basedOn w:val="DefaultParagraphFont"/>
    <w:uiPriority w:val="99"/>
    <w:unhideWhenUsed/>
    <w:rsid w:val="00B01BCE"/>
    <w:rPr>
      <w:color w:val="0563C1" w:themeColor="hyperlink"/>
      <w:u w:val="single"/>
    </w:rPr>
  </w:style>
  <w:style w:type="paragraph" w:customStyle="1" w:styleId="Default">
    <w:name w:val="Default"/>
    <w:rsid w:val="00C57D10"/>
    <w:pPr>
      <w:autoSpaceDE w:val="0"/>
      <w:autoSpaceDN w:val="0"/>
      <w:adjustRightInd w:val="0"/>
      <w:spacing w:after="0" w:line="240" w:lineRule="auto"/>
    </w:pPr>
    <w:rPr>
      <w:rFonts w:ascii="Helvetica Neue" w:hAnsi="Helvetica Neue" w:cs="Helvetica Neue"/>
      <w:color w:val="000000"/>
      <w:sz w:val="24"/>
      <w:szCs w:val="24"/>
    </w:rPr>
  </w:style>
  <w:style w:type="character" w:customStyle="1" w:styleId="A1">
    <w:name w:val="A1"/>
    <w:uiPriority w:val="99"/>
    <w:rsid w:val="00C57D10"/>
    <w:rPr>
      <w:rFonts w:cs="Helvetica Neue"/>
      <w:color w:val="211D1E"/>
      <w:sz w:val="12"/>
      <w:szCs w:val="1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ettings" Target="settings.xml"/><Relationship Id="rId7" Type="http://schemas.microsoft.com/office/2007/relationships/hdphoto" Target="media/hdphoto1.wdp"/><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styles" Target="styles.xml"/><Relationship Id="rId16" Type="http://schemas.microsoft.com/office/2007/relationships/hdphoto" Target="media/hdphoto3.wdp"/><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4.jpeg"/><Relationship Id="rId5" Type="http://schemas.openxmlformats.org/officeDocument/2006/relationships/hyperlink" Target="http://www.cdms.net/LDat/ld77N015.pdf" TargetMode="External"/><Relationship Id="rId15" Type="http://schemas.openxmlformats.org/officeDocument/2006/relationships/image" Target="media/image8.jpeg"/><Relationship Id="rId10" Type="http://schemas.openxmlformats.org/officeDocument/2006/relationships/image" Target="media/image3.JPG"/><Relationship Id="rId4" Type="http://schemas.openxmlformats.org/officeDocument/2006/relationships/webSettings" Target="webSettings.xml"/><Relationship Id="rId9" Type="http://schemas.microsoft.com/office/2007/relationships/hdphoto" Target="media/hdphoto2.wdp"/><Relationship Id="rId14"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816</Words>
  <Characters>4653</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Purple Beret</dc:creator>
  <cp:lastModifiedBy>LearyUHM</cp:lastModifiedBy>
  <cp:revision>2</cp:revision>
  <cp:lastPrinted>2014-09-20T01:11:00Z</cp:lastPrinted>
  <dcterms:created xsi:type="dcterms:W3CDTF">2016-08-10T19:21:00Z</dcterms:created>
  <dcterms:modified xsi:type="dcterms:W3CDTF">2016-08-10T19:21:00Z</dcterms:modified>
</cp:coreProperties>
</file>